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D06C37" w14:paraId="13C6BDF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6ED2C3B" w14:textId="77777777" w:rsidR="00D06C37" w:rsidRDefault="00D06C37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D06C37" w14:paraId="082ADF93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B4A" w14:textId="77777777" w:rsidR="00D06C37" w:rsidRDefault="00F6129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D06C37" w14:paraId="08AE81E3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FCE23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659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InfoSoft Systems Doo Skopje</w:t>
            </w:r>
          </w:p>
        </w:tc>
      </w:tr>
      <w:tr w:rsidR="00D06C37" w14:paraId="02090136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994DE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D35A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System Integration</w:t>
            </w:r>
          </w:p>
        </w:tc>
      </w:tr>
      <w:tr w:rsidR="00D06C37" w14:paraId="6BF3A836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01C1B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0717" w14:textId="3BB6608C" w:rsidR="00D06C37" w:rsidRDefault="006073A9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Senior</w:t>
            </w:r>
            <w:r w:rsidR="00F61291">
              <w:rPr>
                <w:rFonts w:ascii="Verdana" w:hAnsi="Verdana" w:cs="Arial"/>
                <w:sz w:val="20"/>
                <w:szCs w:val="20"/>
                <w:lang w:val="en-US"/>
              </w:rPr>
              <w:t xml:space="preserve"> Network Engineer</w:t>
            </w:r>
          </w:p>
        </w:tc>
      </w:tr>
      <w:tr w:rsidR="00D06C37" w14:paraId="064D7AB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BEB" w14:textId="77777777" w:rsidR="00D06C37" w:rsidRDefault="00D06C3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100113C4" w14:textId="77777777" w:rsidR="00D06C37" w:rsidRDefault="00F6129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145FF064" w14:textId="77777777" w:rsidR="00D06C37" w:rsidRDefault="00D06C37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en-US"/>
              </w:rPr>
            </w:pPr>
          </w:p>
          <w:p w14:paraId="3F95E9EB" w14:textId="57B2FDD5" w:rsidR="00D06C37" w:rsidRDefault="00F6129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An excellent opportunity for a </w:t>
            </w:r>
            <w:r w:rsidR="006073A9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Senior </w:t>
            </w: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Network Engineer in a System Integration area, to join a regional market leader company. </w:t>
            </w:r>
          </w:p>
          <w:p w14:paraId="753BC20C" w14:textId="77777777" w:rsidR="00D06C37" w:rsidRDefault="00F61291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The System Integration department is the technical know-how center and home of technical competences for building the best private as well as hybrid cloud solutions, supporting our customers in their growth and digital transformation.</w:t>
            </w:r>
          </w:p>
          <w:p w14:paraId="109032DC" w14:textId="77777777" w:rsidR="00D06C37" w:rsidRDefault="00F6129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This role is suitable for senior level candidates.</w:t>
            </w:r>
          </w:p>
          <w:p w14:paraId="06FBD600" w14:textId="77777777" w:rsidR="00D06C37" w:rsidRDefault="00D06C37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D06C37" w14:paraId="5AF098CB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715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D449836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4B904BEC" w14:textId="77777777" w:rsidR="00D06C37" w:rsidRDefault="00D06C37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5404A984" w14:textId="4D2BF234" w:rsidR="007C3C30" w:rsidRDefault="007C3C30" w:rsidP="00956FD9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C3C30">
              <w:rPr>
                <w:rFonts w:ascii="Verdana" w:hAnsi="Verdana" w:cs="Arial"/>
                <w:sz w:val="20"/>
                <w:szCs w:val="20"/>
                <w:lang w:val="en-US"/>
              </w:rPr>
              <w:t>As a Senior Network Engineer, you'll be a</w:t>
            </w:r>
            <w:r w:rsidR="00B330C3">
              <w:rPr>
                <w:rFonts w:ascii="Verdana" w:hAnsi="Verdana" w:cs="Arial"/>
                <w:sz w:val="20"/>
                <w:szCs w:val="20"/>
                <w:lang w:val="en-US"/>
              </w:rPr>
              <w:t xml:space="preserve">n important </w:t>
            </w:r>
            <w:r w:rsidRPr="007C3C30">
              <w:rPr>
                <w:rFonts w:ascii="Verdana" w:hAnsi="Verdana" w:cs="Arial"/>
                <w:sz w:val="20"/>
                <w:szCs w:val="20"/>
                <w:lang w:val="en-US"/>
              </w:rPr>
              <w:t xml:space="preserve">player in our company, working on complex projects from the ground up. You'll be responsible for the full lifecycle of network solutions, including implementation, troubleshooting, and ongoing support. </w:t>
            </w:r>
          </w:p>
          <w:p w14:paraId="5A4D87B8" w14:textId="4A233F13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Project Implementation</w:t>
            </w:r>
            <w:r w:rsidR="006A62BC">
              <w:rPr>
                <w:rFonts w:ascii="Verdana" w:eastAsia="Times New Roman" w:hAnsi="Verdana" w:cs="Arial"/>
                <w:sz w:val="20"/>
                <w:szCs w:val="20"/>
                <w:lang w:val="mk-MK" w:eastAsia="sr-Latn-CS"/>
              </w:rPr>
              <w:t xml:space="preserve"> -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You will </w:t>
            </w:r>
            <w:r w:rsidR="00AC185D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take part in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the implementation phase of new network projects, ensuring all solutions are deployed efficiently and meet project specifications.</w:t>
            </w:r>
          </w:p>
          <w:p w14:paraId="6B5C768E" w14:textId="1C3A7F8B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SLA Management</w:t>
            </w:r>
            <w:r w:rsidR="00D94AB4">
              <w:rPr>
                <w:rFonts w:ascii="Verdana" w:eastAsia="Times New Roman" w:hAnsi="Verdana" w:cs="Arial"/>
                <w:sz w:val="20"/>
                <w:szCs w:val="20"/>
                <w:lang w:val="mk-MK" w:eastAsia="sr-Latn-CS"/>
              </w:rPr>
              <w:t xml:space="preserve"> - </w:t>
            </w:r>
            <w:r w:rsidR="00E1591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W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ill manage and resolve high-priority SLA tickets, providing timely and effective solutions to complex network issues.</w:t>
            </w:r>
          </w:p>
          <w:p w14:paraId="263B83FE" w14:textId="095EE205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Documentation &amp; Reporting: </w:t>
            </w:r>
            <w:r w:rsidR="00E1591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C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reate and maintain comprehensive project documentation and detailed reports.</w:t>
            </w:r>
          </w:p>
          <w:p w14:paraId="544376D9" w14:textId="77777777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Professional Development: You will follow certification paths for assigned vendors to maintain and expand your expertise.</w:t>
            </w:r>
          </w:p>
          <w:p w14:paraId="3B3338ED" w14:textId="12B349B3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Technical Presales Support: </w:t>
            </w:r>
            <w:r w:rsidR="00E1591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should support</w:t>
            </w:r>
            <w:r w:rsidR="00300AC3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the team in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preparing technical documentation for client proposals.</w:t>
            </w:r>
          </w:p>
          <w:p w14:paraId="371BAAA0" w14:textId="77777777" w:rsidR="000E68A2" w:rsidRPr="000E68A2" w:rsidRDefault="000E68A2" w:rsidP="000E68A2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Risk Assessment: You will identify and report potential risks at client sites.</w:t>
            </w:r>
          </w:p>
          <w:p w14:paraId="0DBB0662" w14:textId="43854FAE" w:rsidR="00D06C37" w:rsidRDefault="00D06C37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D06C37" w14:paraId="50A43188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09E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5812D450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6567F5E0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60507308" w14:textId="77777777" w:rsidR="00D06C37" w:rsidRDefault="00F61291" w:rsidP="00300AC3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Bachelor degree in Computer Science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or similar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and related areas</w:t>
            </w:r>
          </w:p>
          <w:p w14:paraId="08077C16" w14:textId="3696D5EF" w:rsidR="00300AC3" w:rsidRPr="000E68A2" w:rsidRDefault="00300AC3" w:rsidP="00300AC3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We have v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endor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a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gnostic </w:t>
            </w:r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a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pproach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 and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you should</w:t>
            </w:r>
            <w:r w:rsidR="009C65A3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have</w:t>
            </w:r>
            <w:r w:rsidRPr="000E68A2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broad understanding of networking principles, capable of working with diverse hardware from various vendors. </w:t>
            </w:r>
          </w:p>
          <w:p w14:paraId="0959DFE3" w14:textId="6C4EA0B9" w:rsidR="00D06C37" w:rsidRDefault="009C65A3" w:rsidP="00300AC3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F6129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hould have a positive attitude and excellent communication skills to effectively share your knowledge</w:t>
            </w:r>
          </w:p>
          <w:p w14:paraId="57EEC31B" w14:textId="77777777" w:rsidR="00D06C37" w:rsidRDefault="00F61291" w:rsidP="00300AC3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Be able to operate effectively in a team environment with both technical and non-technical team members and deliver projects on time</w:t>
            </w:r>
          </w:p>
          <w:p w14:paraId="7DBFD31F" w14:textId="1F78C33C" w:rsidR="00D06C37" w:rsidRDefault="00956FD9" w:rsidP="00300AC3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lastRenderedPageBreak/>
              <w:t>K</w:t>
            </w:r>
            <w:r w:rsidR="00F61291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nowledge of networking </w:t>
            </w:r>
            <w:r w:rsidR="009C65A3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and</w:t>
            </w:r>
            <w:r w:rsidR="00F61291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associated technology, including LAN/WAN, TCP/IP, Layer 3 routing technologies, Wi-Fi, Domain Name System and Dynamic Host Configuration Protocol, among others.</w:t>
            </w:r>
          </w:p>
          <w:p w14:paraId="504A5F67" w14:textId="1F536B3B" w:rsidR="00286618" w:rsidRPr="00286618" w:rsidRDefault="00956FD9" w:rsidP="00300AC3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K</w:t>
            </w:r>
            <w:r w:rsidR="00286618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nowledge of </w:t>
            </w:r>
            <w:r w:rsidR="00286618"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configuring, managing and maintaining network security devices</w:t>
            </w:r>
            <w:r w:rsidR="00286618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(FW, NAC, WAF, NSM)</w:t>
            </w:r>
          </w:p>
          <w:p w14:paraId="4313572E" w14:textId="4891F72E" w:rsidR="00D06C37" w:rsidRDefault="00F61291" w:rsidP="00300AC3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Experience with Cisco IOS XE / Dell EMC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SmartFabric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OS10 / HPE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ArubaOS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/ 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Fortinet / Checkpoint / Cisco FTD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/ ISE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B2299D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/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Cisco </w:t>
            </w:r>
            <w:proofErr w:type="spellStart"/>
            <w:r w:rsidR="00956FD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Stealthwatch</w:t>
            </w:r>
            <w:proofErr w:type="spellEnd"/>
            <w:r w:rsidR="00956FD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will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be considered an advantage </w:t>
            </w:r>
          </w:p>
          <w:p w14:paraId="6F98CED2" w14:textId="602DAB03" w:rsidR="00314935" w:rsidRDefault="00314935" w:rsidP="00300AC3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Current CCN</w:t>
            </w:r>
            <w:r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A</w:t>
            </w:r>
            <w:r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or equivalent level of experience in Routing and Switching</w:t>
            </w:r>
          </w:p>
          <w:p w14:paraId="5804508F" w14:textId="76E6892B" w:rsidR="00D06C37" w:rsidRDefault="00D47732" w:rsidP="00300AC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5</w:t>
            </w:r>
            <w:r w:rsidR="00F61291">
              <w:rPr>
                <w:rFonts w:ascii="Verdana" w:hAnsi="Verdana" w:cs="Arial"/>
                <w:sz w:val="20"/>
                <w:szCs w:val="20"/>
                <w:lang w:val="en-US"/>
              </w:rPr>
              <w:t>+ years of experience in the above areas</w:t>
            </w:r>
          </w:p>
          <w:p w14:paraId="3893576A" w14:textId="77777777" w:rsidR="00D06C37" w:rsidRDefault="00F61291" w:rsidP="00300AC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Good team player with excellent interpersonal &amp; communication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skills;</w:t>
            </w:r>
            <w:proofErr w:type="gramEnd"/>
          </w:p>
          <w:p w14:paraId="078D52B4" w14:textId="77777777" w:rsidR="00D06C37" w:rsidRDefault="00F61291" w:rsidP="00300AC3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Excellent verbal and written communication skill in English Language.</w:t>
            </w:r>
          </w:p>
          <w:p w14:paraId="53AA8B05" w14:textId="77777777" w:rsidR="00D06C37" w:rsidRDefault="00D06C37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06C37" w14:paraId="45B04DC8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BC4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D89447A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 can expect from us</w:t>
            </w:r>
          </w:p>
          <w:p w14:paraId="1614FA34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3DCF565C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In addition to a competitive base salary, this position provides incentive compensation that rewards the individual based upon assigned objectives. Statutory benefits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also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provided in accordance with local laws and practice.</w:t>
            </w:r>
          </w:p>
          <w:p w14:paraId="5630ED79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Great opportunity to join a Balkan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wide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recognized &amp; market leading company - InfoSoft Systems Group is amongst the top systems integrators with 30 years of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experience;</w:t>
            </w:r>
            <w:proofErr w:type="gramEnd"/>
          </w:p>
          <w:p w14:paraId="2E1323EF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Liberal and enriching environment for experiencing state-of-the-art technologies, by working closely with the industry leading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vendors;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2F564DA9" w14:textId="77777777" w:rsidR="00F61291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mk-MK"/>
              </w:rPr>
              <w:t>Addisonal private haelth insurance;</w:t>
            </w:r>
          </w:p>
          <w:p w14:paraId="73274C8A" w14:textId="77777777" w:rsidR="00D06C37" w:rsidRDefault="00D06C37" w:rsidP="00282341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06C37" w14:paraId="6E490C22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A4D10B" w14:textId="77777777" w:rsidR="00D06C37" w:rsidRDefault="00D06C3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8F44F3D" w14:textId="5969049C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Qualified candidates should </w:t>
            </w:r>
            <w:r w:rsidR="004B10D2">
              <w:rPr>
                <w:rFonts w:ascii="Verdana" w:hAnsi="Verdana"/>
                <w:sz w:val="20"/>
                <w:szCs w:val="20"/>
                <w:lang w:val="en-US"/>
              </w:rPr>
              <w:t xml:space="preserve">click the “apply” button or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submit the letter of interest and their CV, to the following email address: </w:t>
            </w:r>
            <w:hyperlink r:id="rId6" w:history="1">
              <w:r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hr@infosoftsystems.mk</w:t>
              </w:r>
            </w:hyperlink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„Subject” indication: </w:t>
            </w:r>
            <w:r w:rsidR="00282341">
              <w:rPr>
                <w:rFonts w:ascii="Verdana" w:hAnsi="Verdana" w:cs="Arial"/>
                <w:sz w:val="20"/>
                <w:szCs w:val="20"/>
                <w:lang w:val="en-US"/>
              </w:rPr>
              <w:t xml:space="preserve">Senior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Network Engineer</w:t>
            </w:r>
          </w:p>
          <w:p w14:paraId="3F90B280" w14:textId="77777777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2D1C9C16" w14:textId="2D6F960A" w:rsidR="00D06C37" w:rsidRPr="007E5303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The closing date for applications is </w:t>
            </w:r>
            <w:r w:rsidR="00512DA5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19</w:t>
            </w:r>
            <w:r w:rsidR="002E16E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.0</w:t>
            </w:r>
            <w:r w:rsidR="00512DA5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9</w:t>
            </w:r>
            <w:r w:rsidR="002E16E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.202</w:t>
            </w:r>
            <w:r w:rsidR="00512DA5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5</w:t>
            </w:r>
          </w:p>
          <w:p w14:paraId="3D9CCBB0" w14:textId="77777777" w:rsidR="00D06C37" w:rsidRDefault="00D06C3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33EF4A8" w14:textId="77777777" w:rsidR="00D06C37" w:rsidRDefault="00F61291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613CA313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03635457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14A734F2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6DA6E940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374F2513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724E283C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3B6A79F0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7ED4B4A4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sectPr w:rsidR="00D0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470135">
    <w:abstractNumId w:val="2"/>
  </w:num>
  <w:num w:numId="2" w16cid:durableId="1660696318">
    <w:abstractNumId w:val="1"/>
  </w:num>
  <w:num w:numId="3" w16cid:durableId="1543706447">
    <w:abstractNumId w:val="3"/>
  </w:num>
  <w:num w:numId="4" w16cid:durableId="199756597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37"/>
    <w:rsid w:val="00065511"/>
    <w:rsid w:val="000E68A2"/>
    <w:rsid w:val="001D6438"/>
    <w:rsid w:val="00282341"/>
    <w:rsid w:val="00286618"/>
    <w:rsid w:val="002E16E7"/>
    <w:rsid w:val="00300AC3"/>
    <w:rsid w:val="00314935"/>
    <w:rsid w:val="00343158"/>
    <w:rsid w:val="003B05C4"/>
    <w:rsid w:val="004259B2"/>
    <w:rsid w:val="004B10D2"/>
    <w:rsid w:val="00512DA5"/>
    <w:rsid w:val="005845EC"/>
    <w:rsid w:val="006073A9"/>
    <w:rsid w:val="006A62BC"/>
    <w:rsid w:val="007308D6"/>
    <w:rsid w:val="007A74DE"/>
    <w:rsid w:val="007C3C30"/>
    <w:rsid w:val="007E5303"/>
    <w:rsid w:val="008460E6"/>
    <w:rsid w:val="00956FD9"/>
    <w:rsid w:val="009C65A3"/>
    <w:rsid w:val="00AB0CBE"/>
    <w:rsid w:val="00AC185D"/>
    <w:rsid w:val="00AC6381"/>
    <w:rsid w:val="00B2299D"/>
    <w:rsid w:val="00B330C3"/>
    <w:rsid w:val="00B7738D"/>
    <w:rsid w:val="00D06C37"/>
    <w:rsid w:val="00D47732"/>
    <w:rsid w:val="00D94AB4"/>
    <w:rsid w:val="00E0503B"/>
    <w:rsid w:val="00E1591E"/>
    <w:rsid w:val="00E742AF"/>
    <w:rsid w:val="00F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3CE2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  <w:style w:type="paragraph" w:styleId="Revision">
    <w:name w:val="Revision"/>
    <w:hidden/>
    <w:uiPriority w:val="99"/>
    <w:semiHidden/>
    <w:rsid w:val="0060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infosoftsystems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3930-4E39-4C76-93E0-D3971CCE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4</cp:revision>
  <cp:lastPrinted>2025-09-09T08:56:00Z</cp:lastPrinted>
  <dcterms:created xsi:type="dcterms:W3CDTF">2025-09-09T09:20:00Z</dcterms:created>
  <dcterms:modified xsi:type="dcterms:W3CDTF">2025-09-11T09:56:00Z</dcterms:modified>
</cp:coreProperties>
</file>