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17" w:type="dxa"/>
        <w:tblInd w:w="108" w:type="dxa"/>
        <w:tblLayout w:type="fixed"/>
        <w:tblLook w:val="0000" w:firstRow="0" w:lastRow="0" w:firstColumn="0" w:lastColumn="0" w:noHBand="0" w:noVBand="0"/>
      </w:tblPr>
      <w:tblGrid>
        <w:gridCol w:w="2976"/>
        <w:gridCol w:w="6541"/>
      </w:tblGrid>
      <w:tr w:rsidR="00D06C37" w14:paraId="13C6BDF2" w14:textId="77777777">
        <w:trPr>
          <w:trHeight w:val="70"/>
        </w:trPr>
        <w:tc>
          <w:tcPr>
            <w:tcW w:w="9517" w:type="dxa"/>
            <w:gridSpan w:val="2"/>
            <w:tcBorders>
              <w:top w:val="single" w:sz="4" w:space="0" w:color="000000"/>
              <w:left w:val="single" w:sz="4" w:space="0" w:color="000000"/>
              <w:bottom w:val="single" w:sz="4" w:space="0" w:color="000000"/>
              <w:right w:val="single" w:sz="4" w:space="0" w:color="000000"/>
            </w:tcBorders>
            <w:shd w:val="clear" w:color="auto" w:fill="8C8C8C"/>
          </w:tcPr>
          <w:p w14:paraId="46ED2C3B" w14:textId="77777777" w:rsidR="00D06C37" w:rsidRDefault="00D06C37">
            <w:pPr>
              <w:snapToGrid w:val="0"/>
              <w:spacing w:before="120" w:after="120"/>
              <w:rPr>
                <w:rFonts w:ascii="Verdana" w:hAnsi="Verdana" w:cs="Arial"/>
                <w:b/>
                <w:sz w:val="20"/>
                <w:szCs w:val="20"/>
                <w:lang w:val="en-US"/>
              </w:rPr>
            </w:pPr>
          </w:p>
        </w:tc>
      </w:tr>
      <w:tr w:rsidR="00D06C37" w14:paraId="082ADF93" w14:textId="77777777">
        <w:trPr>
          <w:trHeight w:val="413"/>
        </w:trPr>
        <w:tc>
          <w:tcPr>
            <w:tcW w:w="9517" w:type="dxa"/>
            <w:gridSpan w:val="2"/>
            <w:tcBorders>
              <w:left w:val="single" w:sz="4" w:space="0" w:color="000000"/>
              <w:bottom w:val="single" w:sz="4" w:space="0" w:color="000000"/>
              <w:right w:val="single" w:sz="4" w:space="0" w:color="000000"/>
            </w:tcBorders>
          </w:tcPr>
          <w:p w14:paraId="4A71BB4A" w14:textId="77777777" w:rsidR="00D06C37" w:rsidRDefault="00F61291">
            <w:pPr>
              <w:snapToGrid w:val="0"/>
              <w:spacing w:before="120" w:after="120"/>
              <w:jc w:val="center"/>
              <w:rPr>
                <w:rFonts w:ascii="Verdana" w:hAnsi="Verdana" w:cs="Arial"/>
                <w:b/>
                <w:color w:val="192D7A"/>
                <w:sz w:val="20"/>
                <w:szCs w:val="20"/>
                <w:lang w:val="en-US"/>
              </w:rPr>
            </w:pPr>
            <w:r w:rsidRPr="00311C29">
              <w:rPr>
                <w:rFonts w:ascii="Verdana" w:hAnsi="Verdana" w:cs="Arial"/>
                <w:b/>
                <w:color w:val="95B3D7" w:themeColor="accent1" w:themeTint="99"/>
                <w:lang w:val="en-US"/>
              </w:rPr>
              <w:t>Job</w:t>
            </w:r>
            <w:r w:rsidRPr="00311C29">
              <w:rPr>
                <w:rFonts w:ascii="Verdana" w:hAnsi="Verdana"/>
                <w:color w:val="95B3D7" w:themeColor="accent1" w:themeTint="99"/>
                <w:lang w:val="en-US"/>
              </w:rPr>
              <w:t xml:space="preserve"> </w:t>
            </w:r>
            <w:r w:rsidRPr="00311C29">
              <w:rPr>
                <w:rFonts w:ascii="Verdana" w:hAnsi="Verdana" w:cs="Arial"/>
                <w:b/>
                <w:color w:val="95B3D7" w:themeColor="accent1" w:themeTint="99"/>
                <w:lang w:val="en-US"/>
              </w:rPr>
              <w:t>announcement</w:t>
            </w:r>
            <w:r w:rsidRPr="00311C29">
              <w:rPr>
                <w:rFonts w:ascii="Verdana" w:hAnsi="Verdana" w:cs="Arial"/>
                <w:b/>
                <w:color w:val="95B3D7" w:themeColor="accent1" w:themeTint="99"/>
                <w:sz w:val="20"/>
                <w:szCs w:val="20"/>
                <w:lang w:val="en-US"/>
              </w:rPr>
              <w:t xml:space="preserve"> </w:t>
            </w:r>
          </w:p>
        </w:tc>
      </w:tr>
      <w:tr w:rsidR="00D06C37" w14:paraId="08AE81E3" w14:textId="77777777">
        <w:trPr>
          <w:trHeight w:val="412"/>
        </w:trPr>
        <w:tc>
          <w:tcPr>
            <w:tcW w:w="2976" w:type="dxa"/>
            <w:tcBorders>
              <w:left w:val="single" w:sz="4" w:space="0" w:color="000000"/>
              <w:bottom w:val="single" w:sz="4" w:space="0" w:color="000000"/>
            </w:tcBorders>
            <w:vAlign w:val="center"/>
          </w:tcPr>
          <w:p w14:paraId="6FCFCE23" w14:textId="77777777" w:rsidR="00D06C37" w:rsidRPr="00311C29" w:rsidRDefault="00F61291">
            <w:pPr>
              <w:spacing w:line="360" w:lineRule="auto"/>
              <w:jc w:val="center"/>
              <w:rPr>
                <w:rFonts w:ascii="Verdana" w:hAnsi="Verdana" w:cs="Arial"/>
                <w:b/>
                <w:color w:val="95B3D7" w:themeColor="accent1" w:themeTint="99"/>
                <w:sz w:val="20"/>
                <w:szCs w:val="20"/>
                <w:lang w:val="en-US"/>
              </w:rPr>
            </w:pPr>
            <w:r w:rsidRPr="00311C29">
              <w:rPr>
                <w:rFonts w:ascii="Verdana" w:hAnsi="Verdana" w:cs="Arial"/>
                <w:b/>
                <w:color w:val="95B3D7" w:themeColor="accent1" w:themeTint="99"/>
                <w:sz w:val="20"/>
                <w:szCs w:val="20"/>
                <w:lang w:val="en-US"/>
              </w:rPr>
              <w:t>Company</w:t>
            </w:r>
          </w:p>
        </w:tc>
        <w:tc>
          <w:tcPr>
            <w:tcW w:w="6541" w:type="dxa"/>
            <w:tcBorders>
              <w:left w:val="single" w:sz="4" w:space="0" w:color="000000"/>
              <w:bottom w:val="single" w:sz="4" w:space="0" w:color="000000"/>
              <w:right w:val="single" w:sz="4" w:space="0" w:color="000000"/>
            </w:tcBorders>
            <w:vAlign w:val="center"/>
          </w:tcPr>
          <w:p w14:paraId="1223F659" w14:textId="53DF3B73" w:rsidR="00D06C37" w:rsidRPr="00AD3F9D" w:rsidRDefault="00CF33DC">
            <w:pPr>
              <w:spacing w:line="360" w:lineRule="auto"/>
              <w:jc w:val="center"/>
              <w:rPr>
                <w:rFonts w:ascii="Verdana" w:hAnsi="Verdana" w:cs="Arial"/>
                <w:b/>
                <w:lang w:val="en-US"/>
              </w:rPr>
            </w:pPr>
            <w:r>
              <w:rPr>
                <w:rFonts w:ascii="Verdana" w:hAnsi="Verdana" w:cs="Arial"/>
                <w:sz w:val="20"/>
                <w:szCs w:val="20"/>
                <w:lang w:val="en-US"/>
              </w:rPr>
              <w:t>TESSA Sec</w:t>
            </w:r>
            <w:r w:rsidR="00AD3F9D" w:rsidRPr="00AD3F9D">
              <w:rPr>
                <w:rFonts w:ascii="Verdana" w:hAnsi="Verdana" w:cs="Arial"/>
                <w:b/>
                <w:lang w:val="en-US"/>
              </w:rPr>
              <w:t> </w:t>
            </w:r>
          </w:p>
        </w:tc>
      </w:tr>
      <w:tr w:rsidR="00D06C37" w14:paraId="02090136" w14:textId="77777777" w:rsidTr="00F9521F">
        <w:trPr>
          <w:trHeight w:val="305"/>
        </w:trPr>
        <w:tc>
          <w:tcPr>
            <w:tcW w:w="2976" w:type="dxa"/>
            <w:tcBorders>
              <w:left w:val="single" w:sz="4" w:space="0" w:color="000000"/>
              <w:bottom w:val="single" w:sz="4" w:space="0" w:color="000000"/>
            </w:tcBorders>
            <w:vAlign w:val="center"/>
          </w:tcPr>
          <w:p w14:paraId="29B994DE" w14:textId="77777777" w:rsidR="00D06C37" w:rsidRPr="00311C29" w:rsidRDefault="00F61291">
            <w:pPr>
              <w:spacing w:line="360" w:lineRule="auto"/>
              <w:jc w:val="center"/>
              <w:rPr>
                <w:rFonts w:ascii="Verdana" w:hAnsi="Verdana" w:cs="Arial"/>
                <w:b/>
                <w:color w:val="95B3D7" w:themeColor="accent1" w:themeTint="99"/>
                <w:sz w:val="20"/>
                <w:szCs w:val="20"/>
                <w:lang w:val="en-US"/>
              </w:rPr>
            </w:pPr>
            <w:r w:rsidRPr="00311C29">
              <w:rPr>
                <w:rFonts w:ascii="Verdana" w:hAnsi="Verdana" w:cs="Arial"/>
                <w:b/>
                <w:color w:val="95B3D7" w:themeColor="accent1" w:themeTint="99"/>
                <w:sz w:val="20"/>
                <w:szCs w:val="20"/>
                <w:lang w:val="en-US"/>
              </w:rPr>
              <w:t>Department</w:t>
            </w:r>
          </w:p>
        </w:tc>
        <w:tc>
          <w:tcPr>
            <w:tcW w:w="6541" w:type="dxa"/>
            <w:tcBorders>
              <w:left w:val="single" w:sz="4" w:space="0" w:color="000000"/>
              <w:bottom w:val="single" w:sz="4" w:space="0" w:color="000000"/>
              <w:right w:val="single" w:sz="4" w:space="0" w:color="000000"/>
            </w:tcBorders>
            <w:vAlign w:val="center"/>
          </w:tcPr>
          <w:p w14:paraId="4F90D35A" w14:textId="1599B06E" w:rsidR="00D06C37" w:rsidRDefault="00F80E6A">
            <w:pPr>
              <w:spacing w:line="360" w:lineRule="auto"/>
              <w:jc w:val="center"/>
              <w:rPr>
                <w:rFonts w:ascii="Verdana" w:hAnsi="Verdana" w:cs="Arial"/>
                <w:sz w:val="20"/>
                <w:szCs w:val="20"/>
                <w:lang w:val="en-US"/>
              </w:rPr>
            </w:pPr>
            <w:r>
              <w:rPr>
                <w:rFonts w:ascii="Verdana" w:hAnsi="Verdana" w:cs="Arial"/>
                <w:sz w:val="20"/>
                <w:szCs w:val="20"/>
                <w:lang w:val="en-US"/>
              </w:rPr>
              <w:t>Blue Team</w:t>
            </w:r>
          </w:p>
        </w:tc>
      </w:tr>
      <w:tr w:rsidR="00D06C37" w14:paraId="6BF3A836" w14:textId="77777777">
        <w:tc>
          <w:tcPr>
            <w:tcW w:w="2976" w:type="dxa"/>
            <w:tcBorders>
              <w:left w:val="single" w:sz="4" w:space="0" w:color="000000"/>
              <w:bottom w:val="single" w:sz="4" w:space="0" w:color="000000"/>
            </w:tcBorders>
            <w:vAlign w:val="center"/>
          </w:tcPr>
          <w:p w14:paraId="2E801C1B" w14:textId="77777777" w:rsidR="00D06C37" w:rsidRPr="00311C29" w:rsidRDefault="00F61291">
            <w:pPr>
              <w:spacing w:line="360" w:lineRule="auto"/>
              <w:jc w:val="center"/>
              <w:rPr>
                <w:rFonts w:ascii="Verdana" w:hAnsi="Verdana" w:cs="Arial"/>
                <w:b/>
                <w:color w:val="95B3D7" w:themeColor="accent1" w:themeTint="99"/>
                <w:sz w:val="20"/>
                <w:szCs w:val="20"/>
                <w:lang w:val="en-US"/>
              </w:rPr>
            </w:pPr>
            <w:r w:rsidRPr="00311C29">
              <w:rPr>
                <w:rFonts w:ascii="Verdana" w:hAnsi="Verdana" w:cs="Arial"/>
                <w:b/>
                <w:color w:val="95B3D7" w:themeColor="accent1" w:themeTint="99"/>
                <w:sz w:val="20"/>
                <w:szCs w:val="20"/>
                <w:lang w:val="en-US"/>
              </w:rPr>
              <w:t>Title</w:t>
            </w:r>
          </w:p>
        </w:tc>
        <w:tc>
          <w:tcPr>
            <w:tcW w:w="6541" w:type="dxa"/>
            <w:tcBorders>
              <w:left w:val="single" w:sz="4" w:space="0" w:color="000000"/>
              <w:bottom w:val="single" w:sz="4" w:space="0" w:color="000000"/>
              <w:right w:val="single" w:sz="4" w:space="0" w:color="000000"/>
            </w:tcBorders>
            <w:vAlign w:val="center"/>
          </w:tcPr>
          <w:p w14:paraId="03C30717" w14:textId="52678F3B" w:rsidR="00D06C37" w:rsidRDefault="00D541EE">
            <w:pPr>
              <w:spacing w:line="360" w:lineRule="auto"/>
              <w:jc w:val="center"/>
              <w:rPr>
                <w:rFonts w:ascii="Verdana" w:hAnsi="Verdana" w:cs="Arial"/>
                <w:sz w:val="20"/>
                <w:szCs w:val="20"/>
                <w:lang w:val="en-US"/>
              </w:rPr>
            </w:pPr>
            <w:r w:rsidRPr="00D541EE">
              <w:rPr>
                <w:rFonts w:ascii="Verdana" w:hAnsi="Verdana" w:cs="Arial"/>
                <w:sz w:val="20"/>
                <w:szCs w:val="20"/>
                <w:lang w:val="en-US"/>
              </w:rPr>
              <w:t>Junior Incident Responder</w:t>
            </w:r>
          </w:p>
        </w:tc>
      </w:tr>
      <w:tr w:rsidR="00D06C37" w14:paraId="064D7AB2" w14:textId="77777777">
        <w:tc>
          <w:tcPr>
            <w:tcW w:w="9517" w:type="dxa"/>
            <w:gridSpan w:val="2"/>
            <w:tcBorders>
              <w:left w:val="single" w:sz="4" w:space="0" w:color="000000"/>
              <w:bottom w:val="single" w:sz="4" w:space="0" w:color="000000"/>
              <w:right w:val="single" w:sz="4" w:space="0" w:color="000000"/>
            </w:tcBorders>
          </w:tcPr>
          <w:p w14:paraId="100113C4" w14:textId="77777777" w:rsidR="00D06C37" w:rsidRDefault="00F61291">
            <w:pPr>
              <w:rPr>
                <w:rFonts w:ascii="Verdana" w:hAnsi="Verdana" w:cs="Arial"/>
                <w:b/>
                <w:color w:val="95B3D7" w:themeColor="accent1" w:themeTint="99"/>
                <w:sz w:val="20"/>
                <w:szCs w:val="20"/>
                <w:lang w:val="en-US"/>
              </w:rPr>
            </w:pPr>
            <w:r w:rsidRPr="00311C29">
              <w:rPr>
                <w:rFonts w:ascii="Verdana" w:hAnsi="Verdana" w:cs="Arial"/>
                <w:b/>
                <w:color w:val="95B3D7" w:themeColor="accent1" w:themeTint="99"/>
                <w:sz w:val="20"/>
                <w:szCs w:val="20"/>
                <w:lang w:val="en-US"/>
              </w:rPr>
              <w:t>Introduction:</w:t>
            </w:r>
          </w:p>
          <w:p w14:paraId="1509CAB7" w14:textId="77777777" w:rsidR="00023683" w:rsidRPr="00311C29" w:rsidRDefault="00023683">
            <w:pPr>
              <w:rPr>
                <w:rFonts w:ascii="Verdana" w:hAnsi="Verdana" w:cs="Arial"/>
                <w:b/>
                <w:color w:val="95B3D7" w:themeColor="accent1" w:themeTint="99"/>
                <w:sz w:val="20"/>
                <w:szCs w:val="20"/>
                <w:lang w:val="en-US"/>
              </w:rPr>
            </w:pPr>
          </w:p>
          <w:p w14:paraId="3D6D9E80" w14:textId="3F8C6AF4" w:rsidR="00E37A36" w:rsidRPr="00023683" w:rsidRDefault="00E37A36" w:rsidP="00E37A36">
            <w:pPr>
              <w:rPr>
                <w:rFonts w:ascii="Verdana" w:hAnsi="Verdana" w:cs="Arial"/>
                <w:bCs/>
                <w:sz w:val="20"/>
                <w:szCs w:val="20"/>
                <w:lang w:val="en-US"/>
              </w:rPr>
            </w:pPr>
            <w:r w:rsidRPr="00023683">
              <w:rPr>
                <w:rFonts w:ascii="Verdana" w:hAnsi="Verdana" w:cs="Arial"/>
                <w:bCs/>
                <w:sz w:val="20"/>
                <w:szCs w:val="20"/>
                <w:lang w:val="en-US"/>
              </w:rPr>
              <w:t>At Tessa Security, we protect businesses in an increasingly digital world. Formerly known as CPP Services, Tessa Security represents the next stage</w:t>
            </w:r>
            <w:r w:rsidR="00023683" w:rsidRPr="00023683">
              <w:rPr>
                <w:rFonts w:ascii="Verdana" w:hAnsi="Verdana" w:cs="Arial"/>
                <w:bCs/>
                <w:sz w:val="20"/>
                <w:szCs w:val="20"/>
                <w:lang w:val="en-US"/>
              </w:rPr>
              <w:t xml:space="preserve"> </w:t>
            </w:r>
            <w:r w:rsidRPr="00023683">
              <w:rPr>
                <w:rFonts w:ascii="Verdana" w:hAnsi="Verdana" w:cs="Arial"/>
                <w:bCs/>
                <w:sz w:val="20"/>
                <w:szCs w:val="20"/>
                <w:lang w:val="en-US"/>
              </w:rPr>
              <w:t>in our evolution – a stronger, more modern cybersecurity partner built for today’s complex threat landscape.</w:t>
            </w:r>
          </w:p>
          <w:p w14:paraId="31665E02" w14:textId="77777777" w:rsidR="00E37A36" w:rsidRPr="00023683" w:rsidRDefault="00E37A36" w:rsidP="00E37A36">
            <w:pPr>
              <w:rPr>
                <w:rFonts w:ascii="Verdana" w:hAnsi="Verdana" w:cs="Arial"/>
                <w:bCs/>
                <w:sz w:val="20"/>
                <w:szCs w:val="20"/>
                <w:lang w:val="en-US"/>
              </w:rPr>
            </w:pPr>
          </w:p>
          <w:p w14:paraId="06FBD600" w14:textId="117C2890" w:rsidR="00D06C37" w:rsidRPr="00023683" w:rsidRDefault="00E37A36" w:rsidP="00023683">
            <w:pPr>
              <w:rPr>
                <w:rFonts w:ascii="Verdana" w:hAnsi="Verdana" w:cs="Arial"/>
                <w:bCs/>
                <w:sz w:val="20"/>
                <w:szCs w:val="20"/>
                <w:lang w:val="en-US"/>
              </w:rPr>
            </w:pPr>
            <w:r w:rsidRPr="00023683">
              <w:rPr>
                <w:rFonts w:ascii="Verdana" w:hAnsi="Verdana" w:cs="Arial"/>
                <w:bCs/>
                <w:sz w:val="20"/>
                <w:szCs w:val="20"/>
                <w:lang w:val="en-US"/>
              </w:rPr>
              <w:t>We are a team of experienced cybersecurity professionals dedicated to helping organizations operate securely, confidently, and without disruption. Our goal is simple: to make cybersecurity proactive, clear, and effective, so businesses can focus on growth while we take care of protection.</w:t>
            </w:r>
          </w:p>
        </w:tc>
      </w:tr>
      <w:tr w:rsidR="00D06C37" w14:paraId="5AF098CB" w14:textId="77777777">
        <w:tc>
          <w:tcPr>
            <w:tcW w:w="9517" w:type="dxa"/>
            <w:gridSpan w:val="2"/>
            <w:tcBorders>
              <w:left w:val="single" w:sz="4" w:space="0" w:color="000000"/>
              <w:bottom w:val="single" w:sz="4" w:space="0" w:color="000000"/>
              <w:right w:val="single" w:sz="4" w:space="0" w:color="000000"/>
            </w:tcBorders>
          </w:tcPr>
          <w:p w14:paraId="6568B715" w14:textId="77777777" w:rsidR="00D06C37" w:rsidRPr="00E455D9" w:rsidRDefault="00D06C37" w:rsidP="00E455D9">
            <w:pPr>
              <w:suppressAutoHyphens/>
              <w:ind w:left="720"/>
              <w:jc w:val="both"/>
              <w:rPr>
                <w:rFonts w:ascii="Verdana" w:hAnsi="Verdana" w:cs="Arial"/>
                <w:sz w:val="20"/>
                <w:szCs w:val="20"/>
                <w:lang w:val="en-US"/>
              </w:rPr>
            </w:pPr>
          </w:p>
          <w:p w14:paraId="7D449836" w14:textId="470EC20A" w:rsidR="00D06C37" w:rsidRPr="00311C29" w:rsidRDefault="00F61291" w:rsidP="00E455D9">
            <w:pPr>
              <w:rPr>
                <w:rFonts w:ascii="Verdana" w:hAnsi="Verdana" w:cs="Arial"/>
                <w:b/>
                <w:color w:val="95B3D7" w:themeColor="accent1" w:themeTint="99"/>
                <w:sz w:val="20"/>
                <w:szCs w:val="20"/>
                <w:lang w:val="en-US"/>
              </w:rPr>
            </w:pPr>
            <w:r w:rsidRPr="00311C29">
              <w:rPr>
                <w:rFonts w:ascii="Verdana" w:hAnsi="Verdana" w:cs="Arial"/>
                <w:b/>
                <w:color w:val="95B3D7" w:themeColor="accent1" w:themeTint="99"/>
                <w:sz w:val="20"/>
                <w:szCs w:val="20"/>
                <w:lang w:val="en-US"/>
              </w:rPr>
              <w:t xml:space="preserve">What You’ll Do </w:t>
            </w:r>
            <w:r w:rsidR="00E455D9" w:rsidRPr="00311C29">
              <w:rPr>
                <w:rFonts w:ascii="Verdana" w:hAnsi="Verdana" w:cs="Arial"/>
                <w:b/>
                <w:color w:val="95B3D7" w:themeColor="accent1" w:themeTint="99"/>
                <w:sz w:val="20"/>
                <w:szCs w:val="20"/>
                <w:lang w:val="en-US"/>
              </w:rPr>
              <w:t>-</w:t>
            </w:r>
            <w:r w:rsidR="00D660D3" w:rsidRPr="00311C29">
              <w:rPr>
                <w:rFonts w:ascii="Verdana" w:hAnsi="Verdana" w:cs="Arial"/>
                <w:b/>
                <w:color w:val="95B3D7" w:themeColor="accent1" w:themeTint="99"/>
                <w:sz w:val="20"/>
                <w:szCs w:val="20"/>
                <w:lang w:val="en-US"/>
              </w:rPr>
              <w:t xml:space="preserve"> </w:t>
            </w:r>
            <w:r w:rsidR="00AD3F9D" w:rsidRPr="00311C29">
              <w:rPr>
                <w:rFonts w:ascii="Verdana" w:hAnsi="Verdana" w:cs="Arial"/>
                <w:b/>
                <w:color w:val="95B3D7" w:themeColor="accent1" w:themeTint="99"/>
                <w:sz w:val="20"/>
                <w:szCs w:val="20"/>
                <w:lang w:val="en-US"/>
              </w:rPr>
              <w:t xml:space="preserve">Key </w:t>
            </w:r>
            <w:r w:rsidR="00E455D9" w:rsidRPr="00311C29">
              <w:rPr>
                <w:rFonts w:ascii="Verdana" w:hAnsi="Verdana" w:cs="Arial"/>
                <w:b/>
                <w:color w:val="95B3D7" w:themeColor="accent1" w:themeTint="99"/>
                <w:sz w:val="20"/>
                <w:szCs w:val="20"/>
                <w:lang w:val="en-US"/>
              </w:rPr>
              <w:t>responsibilities</w:t>
            </w:r>
          </w:p>
          <w:p w14:paraId="1D922E64" w14:textId="77777777" w:rsidR="00674371" w:rsidRPr="00674371" w:rsidRDefault="00674371" w:rsidP="00674371">
            <w:pPr>
              <w:numPr>
                <w:ilvl w:val="0"/>
                <w:numId w:val="2"/>
              </w:numPr>
              <w:shd w:val="clear" w:color="auto" w:fill="FFFFFF"/>
              <w:suppressAutoHyphens/>
              <w:spacing w:before="100" w:beforeAutospacing="1" w:after="100" w:afterAutospacing="1"/>
              <w:jc w:val="both"/>
              <w:rPr>
                <w:rFonts w:ascii="Verdana" w:hAnsi="Verdana" w:cs="Arial"/>
                <w:sz w:val="20"/>
                <w:szCs w:val="20"/>
                <w:lang w:val="en-US"/>
              </w:rPr>
            </w:pPr>
            <w:r w:rsidRPr="00674371">
              <w:rPr>
                <w:rFonts w:ascii="Verdana" w:hAnsi="Verdana" w:cs="Arial"/>
                <w:sz w:val="20"/>
                <w:szCs w:val="20"/>
                <w:lang w:val="en-US"/>
              </w:rPr>
              <w:t>Assist with incident response activities under supervision while learning digital forensics and incident handling best practices.</w:t>
            </w:r>
          </w:p>
          <w:p w14:paraId="07A54DDB" w14:textId="77777777" w:rsidR="00674371" w:rsidRPr="00674371" w:rsidRDefault="00674371" w:rsidP="00674371">
            <w:pPr>
              <w:numPr>
                <w:ilvl w:val="0"/>
                <w:numId w:val="2"/>
              </w:numPr>
              <w:shd w:val="clear" w:color="auto" w:fill="FFFFFF"/>
              <w:suppressAutoHyphens/>
              <w:spacing w:before="100" w:beforeAutospacing="1" w:after="100" w:afterAutospacing="1"/>
              <w:jc w:val="both"/>
              <w:rPr>
                <w:rFonts w:ascii="Verdana" w:hAnsi="Verdana" w:cs="Arial"/>
                <w:sz w:val="20"/>
                <w:szCs w:val="20"/>
                <w:lang w:val="en-US"/>
              </w:rPr>
            </w:pPr>
            <w:r w:rsidRPr="00674371">
              <w:rPr>
                <w:rFonts w:ascii="Verdana" w:hAnsi="Verdana" w:cs="Arial"/>
                <w:sz w:val="20"/>
                <w:szCs w:val="20"/>
                <w:lang w:val="en-US"/>
              </w:rPr>
              <w:t>Support triage of medium-severity incidents</w:t>
            </w:r>
          </w:p>
          <w:p w14:paraId="6BA870FF" w14:textId="77777777" w:rsidR="00674371" w:rsidRPr="00674371" w:rsidRDefault="00674371" w:rsidP="00674371">
            <w:pPr>
              <w:numPr>
                <w:ilvl w:val="0"/>
                <w:numId w:val="2"/>
              </w:numPr>
              <w:shd w:val="clear" w:color="auto" w:fill="FFFFFF"/>
              <w:suppressAutoHyphens/>
              <w:spacing w:before="100" w:beforeAutospacing="1" w:after="100" w:afterAutospacing="1"/>
              <w:jc w:val="both"/>
              <w:rPr>
                <w:rFonts w:ascii="Verdana" w:hAnsi="Verdana" w:cs="Arial"/>
                <w:sz w:val="20"/>
                <w:szCs w:val="20"/>
                <w:lang w:val="en-US"/>
              </w:rPr>
            </w:pPr>
            <w:r w:rsidRPr="00674371">
              <w:rPr>
                <w:rFonts w:ascii="Verdana" w:hAnsi="Verdana" w:cs="Arial"/>
                <w:sz w:val="20"/>
                <w:szCs w:val="20"/>
                <w:lang w:val="en-US"/>
              </w:rPr>
              <w:t>Collect and analyze logs, endpoints, and network data</w:t>
            </w:r>
          </w:p>
          <w:p w14:paraId="3803C772" w14:textId="77777777" w:rsidR="00674371" w:rsidRPr="00674371" w:rsidRDefault="00674371" w:rsidP="00674371">
            <w:pPr>
              <w:numPr>
                <w:ilvl w:val="0"/>
                <w:numId w:val="2"/>
              </w:numPr>
              <w:shd w:val="clear" w:color="auto" w:fill="FFFFFF"/>
              <w:suppressAutoHyphens/>
              <w:spacing w:before="100" w:beforeAutospacing="1" w:after="100" w:afterAutospacing="1"/>
              <w:jc w:val="both"/>
              <w:rPr>
                <w:rFonts w:ascii="Verdana" w:hAnsi="Verdana" w:cs="Arial"/>
                <w:sz w:val="20"/>
                <w:szCs w:val="20"/>
                <w:lang w:val="en-US"/>
              </w:rPr>
            </w:pPr>
            <w:r w:rsidRPr="00674371">
              <w:rPr>
                <w:rFonts w:ascii="Verdana" w:hAnsi="Verdana" w:cs="Arial"/>
                <w:sz w:val="20"/>
                <w:szCs w:val="20"/>
                <w:lang w:val="en-US"/>
              </w:rPr>
              <w:t>Follow incident response playbooks</w:t>
            </w:r>
          </w:p>
          <w:p w14:paraId="0DBB0662" w14:textId="63ABA1BB" w:rsidR="00D06C37" w:rsidRPr="00674371" w:rsidRDefault="00674371" w:rsidP="00674371">
            <w:pPr>
              <w:numPr>
                <w:ilvl w:val="0"/>
                <w:numId w:val="2"/>
              </w:numPr>
              <w:shd w:val="clear" w:color="auto" w:fill="FFFFFF"/>
              <w:suppressAutoHyphens/>
              <w:spacing w:before="100" w:beforeAutospacing="1" w:after="100" w:afterAutospacing="1"/>
              <w:jc w:val="both"/>
              <w:rPr>
                <w:rFonts w:ascii="Verdana" w:hAnsi="Verdana" w:cs="Arial"/>
                <w:sz w:val="20"/>
                <w:szCs w:val="20"/>
                <w:lang w:val="en-US"/>
              </w:rPr>
            </w:pPr>
            <w:r w:rsidRPr="00674371">
              <w:rPr>
                <w:rFonts w:ascii="Verdana" w:hAnsi="Verdana" w:cs="Arial"/>
                <w:sz w:val="20"/>
                <w:szCs w:val="20"/>
                <w:lang w:val="en-US"/>
              </w:rPr>
              <w:t>Assist senior responders in investigations</w:t>
            </w:r>
          </w:p>
        </w:tc>
      </w:tr>
      <w:tr w:rsidR="00D06C37" w14:paraId="50A43188" w14:textId="77777777">
        <w:trPr>
          <w:trHeight w:val="420"/>
        </w:trPr>
        <w:tc>
          <w:tcPr>
            <w:tcW w:w="9517" w:type="dxa"/>
            <w:gridSpan w:val="2"/>
            <w:tcBorders>
              <w:top w:val="single" w:sz="4" w:space="0" w:color="000000"/>
              <w:left w:val="single" w:sz="4" w:space="0" w:color="000000"/>
              <w:bottom w:val="single" w:sz="4" w:space="0" w:color="000000"/>
              <w:right w:val="single" w:sz="4" w:space="0" w:color="000000"/>
            </w:tcBorders>
          </w:tcPr>
          <w:p w14:paraId="5B22909E" w14:textId="77777777" w:rsidR="00D06C37" w:rsidRPr="00E455D9" w:rsidRDefault="00D06C37" w:rsidP="00E455D9">
            <w:pPr>
              <w:suppressAutoHyphens/>
              <w:ind w:left="720"/>
              <w:jc w:val="both"/>
              <w:rPr>
                <w:rFonts w:ascii="Verdana" w:hAnsi="Verdana" w:cs="Arial"/>
                <w:sz w:val="20"/>
                <w:szCs w:val="20"/>
                <w:lang w:val="en-US"/>
              </w:rPr>
            </w:pPr>
          </w:p>
          <w:p w14:paraId="5812D450" w14:textId="77777777" w:rsidR="00D06C37" w:rsidRPr="00311C29" w:rsidRDefault="00F61291" w:rsidP="00E455D9">
            <w:pPr>
              <w:rPr>
                <w:rFonts w:ascii="Verdana" w:hAnsi="Verdana" w:cs="Arial"/>
                <w:b/>
                <w:color w:val="95B3D7" w:themeColor="accent1" w:themeTint="99"/>
                <w:sz w:val="20"/>
                <w:szCs w:val="20"/>
                <w:lang w:val="en-US"/>
              </w:rPr>
            </w:pPr>
            <w:r w:rsidRPr="00311C29">
              <w:rPr>
                <w:rFonts w:ascii="Verdana" w:hAnsi="Verdana" w:cs="Arial"/>
                <w:b/>
                <w:color w:val="95B3D7" w:themeColor="accent1" w:themeTint="99"/>
                <w:sz w:val="20"/>
                <w:szCs w:val="20"/>
                <w:lang w:val="en-US"/>
              </w:rPr>
              <w:t>What You’ll Need to be Successful</w:t>
            </w:r>
          </w:p>
          <w:p w14:paraId="32034A08" w14:textId="77777777" w:rsidR="00CA1CC6" w:rsidRPr="00CA1CC6" w:rsidRDefault="00CA1CC6" w:rsidP="00CA1CC6">
            <w:pPr>
              <w:numPr>
                <w:ilvl w:val="0"/>
                <w:numId w:val="2"/>
              </w:numPr>
              <w:shd w:val="clear" w:color="auto" w:fill="FFFFFF"/>
              <w:suppressAutoHyphens/>
              <w:spacing w:before="100" w:beforeAutospacing="1" w:after="100" w:afterAutospacing="1"/>
              <w:jc w:val="both"/>
              <w:rPr>
                <w:rFonts w:ascii="Verdana" w:hAnsi="Verdana" w:cs="Arial"/>
                <w:sz w:val="20"/>
                <w:szCs w:val="20"/>
                <w:lang w:val="en-US"/>
              </w:rPr>
            </w:pPr>
            <w:r w:rsidRPr="00CA1CC6">
              <w:rPr>
                <w:rFonts w:ascii="Verdana" w:hAnsi="Verdana" w:cs="Arial"/>
                <w:sz w:val="20"/>
                <w:szCs w:val="20"/>
                <w:lang w:val="en-US"/>
              </w:rPr>
              <w:t>1–2 years SOC experience</w:t>
            </w:r>
          </w:p>
          <w:p w14:paraId="433BF078" w14:textId="77777777" w:rsidR="00CA1CC6" w:rsidRPr="00CA1CC6" w:rsidRDefault="00CA1CC6" w:rsidP="00CA1CC6">
            <w:pPr>
              <w:numPr>
                <w:ilvl w:val="0"/>
                <w:numId w:val="2"/>
              </w:numPr>
              <w:shd w:val="clear" w:color="auto" w:fill="FFFFFF"/>
              <w:suppressAutoHyphens/>
              <w:spacing w:before="100" w:beforeAutospacing="1" w:after="100" w:afterAutospacing="1"/>
              <w:jc w:val="both"/>
              <w:rPr>
                <w:rFonts w:ascii="Verdana" w:hAnsi="Verdana" w:cs="Arial"/>
                <w:sz w:val="20"/>
                <w:szCs w:val="20"/>
                <w:lang w:val="en-US"/>
              </w:rPr>
            </w:pPr>
            <w:r w:rsidRPr="00CA1CC6">
              <w:rPr>
                <w:rFonts w:ascii="Verdana" w:hAnsi="Verdana" w:cs="Arial"/>
                <w:sz w:val="20"/>
                <w:szCs w:val="20"/>
                <w:lang w:val="en-US"/>
              </w:rPr>
              <w:t>Basic understanding of network and endpoint forensics</w:t>
            </w:r>
          </w:p>
          <w:p w14:paraId="6D850415" w14:textId="77777777" w:rsidR="00CA1CC6" w:rsidRPr="00CA1CC6" w:rsidRDefault="00CA1CC6" w:rsidP="00CA1CC6">
            <w:pPr>
              <w:numPr>
                <w:ilvl w:val="0"/>
                <w:numId w:val="2"/>
              </w:numPr>
              <w:shd w:val="clear" w:color="auto" w:fill="FFFFFF"/>
              <w:suppressAutoHyphens/>
              <w:spacing w:before="100" w:beforeAutospacing="1" w:after="100" w:afterAutospacing="1"/>
              <w:jc w:val="both"/>
              <w:rPr>
                <w:rFonts w:ascii="Verdana" w:hAnsi="Verdana" w:cs="Arial"/>
                <w:sz w:val="20"/>
                <w:szCs w:val="20"/>
                <w:lang w:val="en-US"/>
              </w:rPr>
            </w:pPr>
            <w:r w:rsidRPr="00CA1CC6">
              <w:rPr>
                <w:rFonts w:ascii="Verdana" w:hAnsi="Verdana" w:cs="Arial"/>
                <w:sz w:val="20"/>
                <w:szCs w:val="20"/>
                <w:lang w:val="en-US"/>
              </w:rPr>
              <w:t>Familiarity with SIEM and EDR tools</w:t>
            </w:r>
          </w:p>
          <w:p w14:paraId="22FA8753" w14:textId="77777777" w:rsidR="00CA1CC6" w:rsidRPr="00CA1CC6" w:rsidRDefault="00CA1CC6" w:rsidP="00CA1CC6">
            <w:pPr>
              <w:numPr>
                <w:ilvl w:val="0"/>
                <w:numId w:val="2"/>
              </w:numPr>
              <w:shd w:val="clear" w:color="auto" w:fill="FFFFFF"/>
              <w:suppressAutoHyphens/>
              <w:spacing w:before="100" w:beforeAutospacing="1" w:after="100" w:afterAutospacing="1"/>
              <w:jc w:val="both"/>
              <w:rPr>
                <w:rFonts w:ascii="Verdana" w:hAnsi="Verdana" w:cs="Arial"/>
                <w:sz w:val="20"/>
                <w:szCs w:val="20"/>
                <w:lang w:val="en-US"/>
              </w:rPr>
            </w:pPr>
            <w:r w:rsidRPr="00CA1CC6">
              <w:rPr>
                <w:rFonts w:ascii="Verdana" w:hAnsi="Verdana" w:cs="Arial"/>
                <w:sz w:val="20"/>
                <w:szCs w:val="20"/>
                <w:lang w:val="en-US"/>
              </w:rPr>
              <w:t>Analytical skills</w:t>
            </w:r>
          </w:p>
          <w:p w14:paraId="00265200" w14:textId="77777777" w:rsidR="00CA1CC6" w:rsidRPr="00CA1CC6" w:rsidRDefault="00CA1CC6" w:rsidP="00CA1CC6">
            <w:pPr>
              <w:numPr>
                <w:ilvl w:val="0"/>
                <w:numId w:val="2"/>
              </w:numPr>
              <w:shd w:val="clear" w:color="auto" w:fill="FFFFFF"/>
              <w:suppressAutoHyphens/>
              <w:spacing w:before="100" w:beforeAutospacing="1" w:after="100" w:afterAutospacing="1"/>
              <w:jc w:val="both"/>
              <w:rPr>
                <w:rFonts w:ascii="Verdana" w:hAnsi="Verdana" w:cs="Arial"/>
                <w:sz w:val="20"/>
                <w:szCs w:val="20"/>
                <w:lang w:val="en-US"/>
              </w:rPr>
            </w:pPr>
            <w:r w:rsidRPr="00CA1CC6">
              <w:rPr>
                <w:rFonts w:ascii="Verdana" w:hAnsi="Verdana" w:cs="Arial"/>
                <w:sz w:val="20"/>
                <w:szCs w:val="20"/>
                <w:lang w:val="en-US"/>
              </w:rPr>
              <w:t xml:space="preserve">Knowledge of reading event viewer </w:t>
            </w:r>
          </w:p>
          <w:p w14:paraId="59246B1E" w14:textId="77777777" w:rsidR="00CA1CC6" w:rsidRDefault="00CA1CC6" w:rsidP="00CA1CC6">
            <w:pPr>
              <w:numPr>
                <w:ilvl w:val="0"/>
                <w:numId w:val="2"/>
              </w:numPr>
              <w:shd w:val="clear" w:color="auto" w:fill="FFFFFF"/>
              <w:suppressAutoHyphens/>
              <w:spacing w:before="100" w:beforeAutospacing="1" w:after="100" w:afterAutospacing="1"/>
              <w:jc w:val="both"/>
              <w:rPr>
                <w:rFonts w:ascii="Verdana" w:hAnsi="Verdana" w:cs="Arial"/>
                <w:sz w:val="20"/>
                <w:szCs w:val="20"/>
                <w:lang w:val="en-US"/>
              </w:rPr>
            </w:pPr>
            <w:r w:rsidRPr="00CA1CC6">
              <w:rPr>
                <w:rFonts w:ascii="Verdana" w:hAnsi="Verdana" w:cs="Arial"/>
                <w:sz w:val="20"/>
                <w:szCs w:val="20"/>
                <w:lang w:val="en-US"/>
              </w:rPr>
              <w:t>Advantages for knowing volatility and using forensic tools (OSForensics, FTK, Autopsy etc)</w:t>
            </w:r>
          </w:p>
          <w:p w14:paraId="652E42AD" w14:textId="77777777" w:rsidR="00CA1CC6" w:rsidRPr="00CA1CC6" w:rsidRDefault="00CA1CC6" w:rsidP="00CA1CC6">
            <w:pPr>
              <w:shd w:val="clear" w:color="auto" w:fill="FFFFFF"/>
              <w:suppressAutoHyphens/>
              <w:spacing w:before="100" w:beforeAutospacing="1" w:after="100" w:afterAutospacing="1"/>
              <w:jc w:val="both"/>
              <w:rPr>
                <w:rFonts w:ascii="Verdana" w:hAnsi="Verdana" w:cs="Arial"/>
                <w:b/>
                <w:bCs/>
                <w:color w:val="95B3D7" w:themeColor="accent1" w:themeTint="99"/>
                <w:sz w:val="20"/>
                <w:szCs w:val="20"/>
                <w:lang w:val="en-US"/>
              </w:rPr>
            </w:pPr>
            <w:r w:rsidRPr="00CA1CC6">
              <w:rPr>
                <w:rFonts w:ascii="Verdana" w:hAnsi="Verdana" w:cs="Arial"/>
                <w:b/>
                <w:bCs/>
                <w:color w:val="95B3D7" w:themeColor="accent1" w:themeTint="99"/>
                <w:sz w:val="20"/>
                <w:szCs w:val="20"/>
                <w:lang w:val="en-US"/>
              </w:rPr>
              <w:t>Nice-to-Have</w:t>
            </w:r>
          </w:p>
          <w:p w14:paraId="53AA8B05" w14:textId="5FF2A5D5" w:rsidR="00D06C37" w:rsidRPr="00CA1CC6" w:rsidRDefault="00CA1CC6" w:rsidP="00CA1CC6">
            <w:pPr>
              <w:numPr>
                <w:ilvl w:val="0"/>
                <w:numId w:val="2"/>
              </w:numPr>
              <w:shd w:val="clear" w:color="auto" w:fill="FFFFFF"/>
              <w:suppressAutoHyphens/>
              <w:spacing w:before="100" w:beforeAutospacing="1" w:after="100" w:afterAutospacing="1"/>
              <w:jc w:val="both"/>
              <w:rPr>
                <w:rFonts w:ascii="Verdana" w:hAnsi="Verdana" w:cs="Arial"/>
                <w:sz w:val="20"/>
                <w:szCs w:val="20"/>
                <w:lang w:val="en-US"/>
              </w:rPr>
            </w:pPr>
            <w:r w:rsidRPr="00CA1CC6">
              <w:rPr>
                <w:rFonts w:ascii="Verdana" w:hAnsi="Verdana" w:cs="Arial"/>
                <w:sz w:val="20"/>
                <w:szCs w:val="20"/>
                <w:lang w:val="en-US"/>
              </w:rPr>
              <w:t>Security+, GCIH (in progress)</w:t>
            </w:r>
          </w:p>
        </w:tc>
      </w:tr>
      <w:tr w:rsidR="00D06C37" w14:paraId="45B04DC8" w14:textId="77777777">
        <w:trPr>
          <w:trHeight w:val="1156"/>
        </w:trPr>
        <w:tc>
          <w:tcPr>
            <w:tcW w:w="9517" w:type="dxa"/>
            <w:gridSpan w:val="2"/>
            <w:tcBorders>
              <w:top w:val="single" w:sz="4" w:space="0" w:color="000000"/>
              <w:left w:val="single" w:sz="4" w:space="0" w:color="000000"/>
              <w:bottom w:val="single" w:sz="4" w:space="0" w:color="000000"/>
              <w:right w:val="single" w:sz="4" w:space="0" w:color="000000"/>
            </w:tcBorders>
          </w:tcPr>
          <w:p w14:paraId="460D0BC4" w14:textId="77777777" w:rsidR="00D06C37" w:rsidRPr="00E9498E" w:rsidRDefault="00D06C37">
            <w:pPr>
              <w:snapToGrid w:val="0"/>
              <w:rPr>
                <w:rFonts w:ascii="Verdana" w:hAnsi="Verdana" w:cs="Arial"/>
                <w:sz w:val="20"/>
                <w:szCs w:val="20"/>
                <w:lang w:val="en-US"/>
              </w:rPr>
            </w:pPr>
          </w:p>
          <w:p w14:paraId="7D89447A" w14:textId="77777777" w:rsidR="00D06C37" w:rsidRPr="00E9498E" w:rsidRDefault="00F61291">
            <w:pPr>
              <w:snapToGrid w:val="0"/>
              <w:rPr>
                <w:rFonts w:ascii="Verdana" w:hAnsi="Verdana" w:cs="Arial"/>
                <w:sz w:val="20"/>
                <w:szCs w:val="20"/>
                <w:lang w:val="en-US"/>
              </w:rPr>
            </w:pPr>
            <w:r w:rsidRPr="00E9498E">
              <w:rPr>
                <w:rFonts w:ascii="Verdana" w:hAnsi="Verdana" w:cs="Arial"/>
                <w:sz w:val="20"/>
                <w:szCs w:val="20"/>
                <w:lang w:val="en-US"/>
              </w:rPr>
              <w:t>What you can expect from us</w:t>
            </w:r>
          </w:p>
          <w:p w14:paraId="1614FA34" w14:textId="77777777" w:rsidR="00D06C37" w:rsidRPr="00E9498E" w:rsidRDefault="00D06C37">
            <w:pPr>
              <w:snapToGrid w:val="0"/>
              <w:rPr>
                <w:rFonts w:ascii="Verdana" w:hAnsi="Verdana" w:cs="Arial"/>
                <w:sz w:val="20"/>
                <w:szCs w:val="20"/>
                <w:lang w:val="en-US"/>
              </w:rPr>
            </w:pPr>
          </w:p>
          <w:p w14:paraId="3DCF565C" w14:textId="44AF711E" w:rsidR="00D06C37" w:rsidRDefault="002F12D1">
            <w:pPr>
              <w:numPr>
                <w:ilvl w:val="0"/>
                <w:numId w:val="2"/>
              </w:numPr>
              <w:suppressAutoHyphens/>
              <w:jc w:val="both"/>
              <w:rPr>
                <w:rFonts w:ascii="Verdana" w:hAnsi="Verdana" w:cs="Arial"/>
                <w:sz w:val="20"/>
                <w:szCs w:val="20"/>
                <w:lang w:val="en-US"/>
              </w:rPr>
            </w:pPr>
            <w:r>
              <w:rPr>
                <w:rFonts w:ascii="Verdana" w:hAnsi="Verdana" w:cs="Arial"/>
                <w:sz w:val="20"/>
                <w:szCs w:val="20"/>
                <w:lang w:val="en-US"/>
              </w:rPr>
              <w:t>C</w:t>
            </w:r>
            <w:r w:rsidR="00F61291">
              <w:rPr>
                <w:rFonts w:ascii="Verdana" w:hAnsi="Verdana" w:cs="Arial"/>
                <w:sz w:val="20"/>
                <w:szCs w:val="20"/>
                <w:lang w:val="en-US"/>
              </w:rPr>
              <w:t>ompetitive base salary. Statutory benefits also provided in accordance with local laws and practice</w:t>
            </w:r>
          </w:p>
          <w:p w14:paraId="5630ED79" w14:textId="6FAAE1EA" w:rsidR="00D06C37" w:rsidRDefault="00F61291">
            <w:pPr>
              <w:numPr>
                <w:ilvl w:val="0"/>
                <w:numId w:val="2"/>
              </w:numPr>
              <w:suppressAutoHyphens/>
              <w:jc w:val="both"/>
              <w:rPr>
                <w:rFonts w:ascii="Verdana" w:hAnsi="Verdana" w:cs="Arial"/>
                <w:sz w:val="20"/>
                <w:szCs w:val="20"/>
                <w:lang w:val="en-US"/>
              </w:rPr>
            </w:pPr>
            <w:r>
              <w:rPr>
                <w:rFonts w:ascii="Verdana" w:hAnsi="Verdana" w:cs="Arial"/>
                <w:sz w:val="20"/>
                <w:szCs w:val="20"/>
                <w:lang w:val="en-US"/>
              </w:rPr>
              <w:t xml:space="preserve">Great opportunity to join a Balkan wide recognized &amp; market leading </w:t>
            </w:r>
            <w:r w:rsidR="00E455D9">
              <w:rPr>
                <w:rFonts w:ascii="Verdana" w:hAnsi="Verdana" w:cs="Arial"/>
                <w:sz w:val="20"/>
                <w:szCs w:val="20"/>
                <w:lang w:val="en-US"/>
              </w:rPr>
              <w:t>group</w:t>
            </w:r>
            <w:r>
              <w:rPr>
                <w:rFonts w:ascii="Verdana" w:hAnsi="Verdana" w:cs="Arial"/>
                <w:sz w:val="20"/>
                <w:szCs w:val="20"/>
                <w:lang w:val="en-US"/>
              </w:rPr>
              <w:t xml:space="preserve"> </w:t>
            </w:r>
          </w:p>
          <w:p w14:paraId="2E1323EF" w14:textId="47792C69" w:rsidR="00D06C37" w:rsidRDefault="00F61291">
            <w:pPr>
              <w:numPr>
                <w:ilvl w:val="0"/>
                <w:numId w:val="2"/>
              </w:numPr>
              <w:suppressAutoHyphens/>
              <w:jc w:val="both"/>
              <w:rPr>
                <w:rFonts w:ascii="Verdana" w:hAnsi="Verdana" w:cs="Arial"/>
                <w:sz w:val="20"/>
                <w:szCs w:val="20"/>
                <w:lang w:val="en-US"/>
              </w:rPr>
            </w:pPr>
            <w:r>
              <w:rPr>
                <w:rFonts w:ascii="Verdana" w:hAnsi="Verdana" w:cs="Arial"/>
                <w:sz w:val="20"/>
                <w:szCs w:val="20"/>
                <w:lang w:val="en-US"/>
              </w:rPr>
              <w:t>Liberal and enriching environment for experiencing state-of-the-art technologies</w:t>
            </w:r>
          </w:p>
          <w:p w14:paraId="353BDDCD" w14:textId="4F8CCF0E" w:rsidR="00E455D9" w:rsidRPr="00E9498E" w:rsidRDefault="00E455D9" w:rsidP="00E455D9">
            <w:pPr>
              <w:numPr>
                <w:ilvl w:val="0"/>
                <w:numId w:val="2"/>
              </w:numPr>
              <w:suppressAutoHyphens/>
              <w:jc w:val="both"/>
              <w:rPr>
                <w:rFonts w:ascii="Verdana" w:hAnsi="Verdana" w:cs="Arial"/>
                <w:sz w:val="20"/>
                <w:szCs w:val="20"/>
                <w:lang w:val="en-US"/>
              </w:rPr>
            </w:pPr>
            <w:r w:rsidRPr="00E9498E">
              <w:rPr>
                <w:rFonts w:ascii="Verdana" w:hAnsi="Verdana" w:cs="Arial"/>
                <w:sz w:val="20"/>
                <w:szCs w:val="20"/>
                <w:lang w:val="en-US"/>
              </w:rPr>
              <w:t>Excellent team-oriented, dynamic working environment</w:t>
            </w:r>
          </w:p>
          <w:p w14:paraId="54B8D7CA" w14:textId="23277577" w:rsidR="00E455D9" w:rsidRPr="00E9498E" w:rsidRDefault="00E455D9" w:rsidP="00E455D9">
            <w:pPr>
              <w:numPr>
                <w:ilvl w:val="0"/>
                <w:numId w:val="2"/>
              </w:numPr>
              <w:suppressAutoHyphens/>
              <w:jc w:val="both"/>
              <w:rPr>
                <w:rFonts w:ascii="Verdana" w:hAnsi="Verdana" w:cs="Arial"/>
                <w:sz w:val="20"/>
                <w:szCs w:val="20"/>
                <w:lang w:val="en-US"/>
              </w:rPr>
            </w:pPr>
            <w:r w:rsidRPr="00E9498E">
              <w:rPr>
                <w:rFonts w:ascii="Verdana" w:hAnsi="Verdana" w:cs="Arial"/>
                <w:sz w:val="20"/>
                <w:szCs w:val="20"/>
                <w:lang w:val="en-US"/>
              </w:rPr>
              <w:lastRenderedPageBreak/>
              <w:t>Challenging, engaging and varied tasks</w:t>
            </w:r>
          </w:p>
          <w:p w14:paraId="523B43D0" w14:textId="510D4AA2" w:rsidR="00E455D9" w:rsidRPr="00E9498E" w:rsidRDefault="00E455D9" w:rsidP="00E455D9">
            <w:pPr>
              <w:numPr>
                <w:ilvl w:val="0"/>
                <w:numId w:val="2"/>
              </w:numPr>
              <w:suppressAutoHyphens/>
              <w:jc w:val="both"/>
              <w:rPr>
                <w:rFonts w:ascii="Verdana" w:hAnsi="Verdana" w:cs="Arial"/>
                <w:sz w:val="20"/>
                <w:szCs w:val="20"/>
                <w:lang w:val="en-US"/>
              </w:rPr>
            </w:pPr>
            <w:r w:rsidRPr="00E9498E">
              <w:rPr>
                <w:rFonts w:ascii="Verdana" w:hAnsi="Verdana" w:cs="Arial"/>
                <w:sz w:val="20"/>
                <w:szCs w:val="20"/>
                <w:lang w:val="en-US"/>
              </w:rPr>
              <w:t>Personal and technical skills development with certified trainings</w:t>
            </w:r>
          </w:p>
          <w:p w14:paraId="2F564DA9" w14:textId="56ACC865" w:rsidR="00F61291" w:rsidRDefault="00710CAA">
            <w:pPr>
              <w:numPr>
                <w:ilvl w:val="0"/>
                <w:numId w:val="2"/>
              </w:numPr>
              <w:suppressAutoHyphens/>
              <w:jc w:val="both"/>
              <w:rPr>
                <w:rFonts w:ascii="Verdana" w:hAnsi="Verdana" w:cs="Arial"/>
                <w:sz w:val="20"/>
                <w:szCs w:val="20"/>
                <w:lang w:val="en-US"/>
              </w:rPr>
            </w:pPr>
            <w:r w:rsidRPr="00E9498E">
              <w:rPr>
                <w:rFonts w:ascii="Verdana" w:hAnsi="Verdana" w:cs="Arial"/>
                <w:sz w:val="20"/>
                <w:szCs w:val="20"/>
                <w:lang w:val="en-US"/>
              </w:rPr>
              <w:t>Additional</w:t>
            </w:r>
            <w:r w:rsidR="00F61291" w:rsidRPr="00E9498E">
              <w:rPr>
                <w:rFonts w:ascii="Verdana" w:hAnsi="Verdana" w:cs="Arial"/>
                <w:sz w:val="20"/>
                <w:szCs w:val="20"/>
                <w:lang w:val="en-US"/>
              </w:rPr>
              <w:t xml:space="preserve"> private h</w:t>
            </w:r>
            <w:r>
              <w:rPr>
                <w:rFonts w:ascii="Verdana" w:hAnsi="Verdana" w:cs="Arial"/>
                <w:sz w:val="20"/>
                <w:szCs w:val="20"/>
                <w:lang w:val="en-US"/>
              </w:rPr>
              <w:t>eal</w:t>
            </w:r>
            <w:r w:rsidR="00F61291" w:rsidRPr="00E9498E">
              <w:rPr>
                <w:rFonts w:ascii="Verdana" w:hAnsi="Verdana" w:cs="Arial"/>
                <w:sz w:val="20"/>
                <w:szCs w:val="20"/>
                <w:lang w:val="en-US"/>
              </w:rPr>
              <w:t>th insurance;</w:t>
            </w:r>
          </w:p>
          <w:p w14:paraId="022D2C41" w14:textId="7179359D" w:rsidR="00D06C37" w:rsidRDefault="00F61291" w:rsidP="00E455D9">
            <w:pPr>
              <w:numPr>
                <w:ilvl w:val="0"/>
                <w:numId w:val="2"/>
              </w:numPr>
              <w:suppressAutoHyphens/>
              <w:jc w:val="both"/>
              <w:rPr>
                <w:rFonts w:ascii="Verdana" w:hAnsi="Verdana" w:cs="Arial"/>
                <w:sz w:val="20"/>
                <w:szCs w:val="20"/>
                <w:lang w:val="en-US"/>
              </w:rPr>
            </w:pPr>
            <w:r>
              <w:rPr>
                <w:rFonts w:ascii="Verdana" w:hAnsi="Verdana" w:cs="Arial"/>
                <w:sz w:val="20"/>
                <w:szCs w:val="20"/>
                <w:lang w:val="en-US"/>
              </w:rPr>
              <w:t>Work from home option (hybrid)</w:t>
            </w:r>
            <w:r w:rsidR="00E1543C">
              <w:rPr>
                <w:rFonts w:ascii="Verdana" w:hAnsi="Verdana" w:cs="Arial"/>
                <w:sz w:val="20"/>
                <w:szCs w:val="20"/>
                <w:lang w:val="en-US"/>
              </w:rPr>
              <w:t xml:space="preserve"> on request</w:t>
            </w:r>
            <w:r>
              <w:rPr>
                <w:rFonts w:ascii="Verdana" w:hAnsi="Verdana" w:cs="Arial"/>
                <w:sz w:val="20"/>
                <w:szCs w:val="20"/>
                <w:lang w:val="en-US"/>
              </w:rPr>
              <w:t xml:space="preserve"> </w:t>
            </w:r>
          </w:p>
          <w:p w14:paraId="73274C8A" w14:textId="59F409EA" w:rsidR="00E455D9" w:rsidRPr="00E455D9" w:rsidRDefault="00E455D9" w:rsidP="00E455D9">
            <w:pPr>
              <w:suppressAutoHyphens/>
              <w:ind w:left="720"/>
              <w:jc w:val="both"/>
              <w:rPr>
                <w:rFonts w:ascii="Verdana" w:hAnsi="Verdana" w:cs="Arial"/>
                <w:sz w:val="20"/>
                <w:szCs w:val="20"/>
                <w:lang w:val="en-US"/>
              </w:rPr>
            </w:pPr>
          </w:p>
        </w:tc>
      </w:tr>
      <w:tr w:rsidR="00D06C37" w14:paraId="6E490C22" w14:textId="77777777" w:rsidTr="00AD3F9D">
        <w:trPr>
          <w:trHeight w:val="1156"/>
        </w:trPr>
        <w:tc>
          <w:tcPr>
            <w:tcW w:w="9517" w:type="dxa"/>
            <w:gridSpan w:val="2"/>
            <w:tcBorders>
              <w:top w:val="single" w:sz="4" w:space="0" w:color="000000"/>
              <w:left w:val="single" w:sz="4" w:space="0" w:color="000000"/>
              <w:bottom w:val="single" w:sz="4" w:space="0" w:color="auto"/>
              <w:right w:val="single" w:sz="4" w:space="0" w:color="000000"/>
            </w:tcBorders>
            <w:shd w:val="clear" w:color="auto" w:fill="C2D69B" w:themeFill="accent3" w:themeFillTint="99"/>
          </w:tcPr>
          <w:p w14:paraId="4A38BFAC" w14:textId="77777777" w:rsidR="00401F55" w:rsidRDefault="00401F55" w:rsidP="00401F55">
            <w:pPr>
              <w:pStyle w:val="NormalWeb"/>
              <w:spacing w:line="276" w:lineRule="auto"/>
              <w:jc w:val="both"/>
              <w:rPr>
                <w:rFonts w:ascii="Verdana" w:hAnsi="Verdana"/>
                <w:sz w:val="20"/>
                <w:szCs w:val="20"/>
                <w:lang w:val="en-US"/>
              </w:rPr>
            </w:pPr>
            <w:r w:rsidRPr="00401F55">
              <w:rPr>
                <w:rFonts w:ascii="Verdana" w:hAnsi="Verdana"/>
                <w:sz w:val="20"/>
                <w:szCs w:val="20"/>
                <w:lang w:val="en-US"/>
              </w:rPr>
              <w:lastRenderedPageBreak/>
              <w:t>Qualified candidates should submit the letter of interest and their CV, to the following email address: career.mk@tessa.group, with subject indication: “Position Title – Tessa Group”</w:t>
            </w:r>
          </w:p>
          <w:p w14:paraId="25F15453" w14:textId="067C6324" w:rsidR="00401F55" w:rsidRPr="00401F55" w:rsidRDefault="00401F55" w:rsidP="00401F55">
            <w:pPr>
              <w:pStyle w:val="NormalWeb"/>
              <w:spacing w:line="276" w:lineRule="auto"/>
              <w:jc w:val="both"/>
              <w:rPr>
                <w:rFonts w:ascii="Verdana" w:hAnsi="Verdana"/>
                <w:sz w:val="20"/>
                <w:szCs w:val="20"/>
                <w:lang w:val="en-US"/>
              </w:rPr>
            </w:pPr>
            <w:r w:rsidRPr="00401F55">
              <w:rPr>
                <w:rFonts w:ascii="Verdana" w:hAnsi="Verdana"/>
                <w:sz w:val="20"/>
                <w:szCs w:val="20"/>
                <w:lang w:val="en-US"/>
              </w:rPr>
              <w:t xml:space="preserve">Only qualified candidates will be called on interview. The CV-s must be in English. The closing date for applications is </w:t>
            </w:r>
            <w:r w:rsidR="00074BDE">
              <w:rPr>
                <w:rFonts w:ascii="Verdana" w:hAnsi="Verdana"/>
                <w:sz w:val="20"/>
                <w:szCs w:val="20"/>
                <w:lang w:val="en-US"/>
              </w:rPr>
              <w:t>17</w:t>
            </w:r>
            <w:r w:rsidRPr="00401F55">
              <w:rPr>
                <w:rFonts w:ascii="Verdana" w:hAnsi="Verdana"/>
                <w:sz w:val="20"/>
                <w:szCs w:val="20"/>
                <w:lang w:val="en-US"/>
              </w:rPr>
              <w:t xml:space="preserve">.03.2026.  </w:t>
            </w:r>
          </w:p>
          <w:p w14:paraId="613CA313" w14:textId="564937C4" w:rsidR="00D06C37" w:rsidRDefault="00401F55" w:rsidP="00074BDE">
            <w:pPr>
              <w:pStyle w:val="NormalWeb"/>
              <w:spacing w:line="276" w:lineRule="auto"/>
              <w:jc w:val="both"/>
              <w:rPr>
                <w:rFonts w:ascii="Verdana" w:hAnsi="Verdana" w:cs="Arial"/>
                <w:b/>
                <w:color w:val="192D7A"/>
                <w:sz w:val="20"/>
                <w:szCs w:val="20"/>
                <w:lang w:val="en-US"/>
              </w:rPr>
            </w:pPr>
            <w:r w:rsidRPr="00401F55">
              <w:rPr>
                <w:rFonts w:ascii="Verdana" w:hAnsi="Verdana"/>
                <w:sz w:val="20"/>
                <w:szCs w:val="20"/>
                <w:lang w:val="en-US"/>
              </w:rPr>
              <w:t>The personal information that you will submit through your application, will be protected and used only for recruiting purposes, according to the legislation for the protection of personal information, the Law on Personal Data Protection ("Official Gazette of the Republic of Macedonia" No. 7/05, 103/08, 124/08, 124/10, 135/2011, 43/2014 and 153/15).</w:t>
            </w:r>
          </w:p>
        </w:tc>
      </w:tr>
    </w:tbl>
    <w:p w14:paraId="14A734F2" w14:textId="77777777" w:rsidR="00D06C37" w:rsidRDefault="00D06C37">
      <w:pPr>
        <w:rPr>
          <w:rFonts w:ascii="Verdana" w:hAnsi="Verdana" w:cs="Arial"/>
          <w:sz w:val="20"/>
          <w:szCs w:val="20"/>
          <w:lang w:val="en-US"/>
        </w:rPr>
      </w:pPr>
    </w:p>
    <w:sectPr w:rsidR="00D06C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30827"/>
    <w:multiLevelType w:val="hybridMultilevel"/>
    <w:tmpl w:val="52ECBE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1A531975"/>
    <w:multiLevelType w:val="hybridMultilevel"/>
    <w:tmpl w:val="9A74D1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75FD2E18"/>
    <w:multiLevelType w:val="hybridMultilevel"/>
    <w:tmpl w:val="470858D0"/>
    <w:lvl w:ilvl="0" w:tplc="AE5A2F48">
      <w:start w:val="1"/>
      <w:numFmt w:val="bullet"/>
      <w:pStyle w:val="TEKST"/>
      <w:lvlText w:val="o"/>
      <w:lvlJc w:val="left"/>
      <w:pPr>
        <w:tabs>
          <w:tab w:val="num" w:pos="502"/>
        </w:tabs>
        <w:ind w:left="502"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CE001B1"/>
    <w:multiLevelType w:val="hybridMultilevel"/>
    <w:tmpl w:val="1284BF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73612536">
    <w:abstractNumId w:val="2"/>
  </w:num>
  <w:num w:numId="2" w16cid:durableId="893467616">
    <w:abstractNumId w:val="1"/>
  </w:num>
  <w:num w:numId="3" w16cid:durableId="599877205">
    <w:abstractNumId w:val="3"/>
  </w:num>
  <w:num w:numId="4" w16cid:durableId="1412047043">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6C37"/>
    <w:rsid w:val="00023683"/>
    <w:rsid w:val="00064B37"/>
    <w:rsid w:val="00065511"/>
    <w:rsid w:val="00074BDE"/>
    <w:rsid w:val="0009265A"/>
    <w:rsid w:val="00092D9E"/>
    <w:rsid w:val="001811D0"/>
    <w:rsid w:val="00242D9B"/>
    <w:rsid w:val="00286618"/>
    <w:rsid w:val="002D69C7"/>
    <w:rsid w:val="002F12D1"/>
    <w:rsid w:val="00311C29"/>
    <w:rsid w:val="003120D1"/>
    <w:rsid w:val="00314935"/>
    <w:rsid w:val="00343158"/>
    <w:rsid w:val="00401F55"/>
    <w:rsid w:val="004622C3"/>
    <w:rsid w:val="005041C9"/>
    <w:rsid w:val="005136FE"/>
    <w:rsid w:val="00674371"/>
    <w:rsid w:val="006A6919"/>
    <w:rsid w:val="006F73FB"/>
    <w:rsid w:val="00710CAA"/>
    <w:rsid w:val="007308D6"/>
    <w:rsid w:val="00746BA1"/>
    <w:rsid w:val="0078695F"/>
    <w:rsid w:val="00816D63"/>
    <w:rsid w:val="00870BDE"/>
    <w:rsid w:val="0087482B"/>
    <w:rsid w:val="00956FD9"/>
    <w:rsid w:val="00963FAE"/>
    <w:rsid w:val="009E62C2"/>
    <w:rsid w:val="009F352E"/>
    <w:rsid w:val="00AA3751"/>
    <w:rsid w:val="00AD3F9D"/>
    <w:rsid w:val="00BD411A"/>
    <w:rsid w:val="00C93ED7"/>
    <w:rsid w:val="00CA1CC6"/>
    <w:rsid w:val="00CB2D4E"/>
    <w:rsid w:val="00CF33DC"/>
    <w:rsid w:val="00D06C37"/>
    <w:rsid w:val="00D541EE"/>
    <w:rsid w:val="00D660D3"/>
    <w:rsid w:val="00E0503B"/>
    <w:rsid w:val="00E1543C"/>
    <w:rsid w:val="00E37A36"/>
    <w:rsid w:val="00E455D9"/>
    <w:rsid w:val="00E73C01"/>
    <w:rsid w:val="00E742AF"/>
    <w:rsid w:val="00E9498E"/>
    <w:rsid w:val="00F14333"/>
    <w:rsid w:val="00F51CD6"/>
    <w:rsid w:val="00F61291"/>
    <w:rsid w:val="00F80E6A"/>
    <w:rsid w:val="00F9521F"/>
    <w:rsid w:val="00FC1A6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03CE2"/>
  <w15:docId w15:val="{5B563E44-2014-4CC8-9E7F-ED26B522D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sz w:val="24"/>
      <w:szCs w:val="24"/>
      <w:lang w:val="sr-Latn-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paragraph" w:customStyle="1" w:styleId="NAZIVPOZICIJE">
    <w:name w:val="NAZIV POZICIJE"/>
    <w:basedOn w:val="Normal"/>
    <w:link w:val="NAZIVPOZICIJEChar"/>
    <w:pPr>
      <w:shd w:val="clear" w:color="auto" w:fill="1F497D"/>
      <w:spacing w:before="360" w:after="360"/>
      <w:jc w:val="both"/>
    </w:pPr>
    <w:rPr>
      <w:rFonts w:ascii="Trebuchet MS" w:hAnsi="Trebuchet MS"/>
      <w:color w:val="FFFFFF"/>
      <w:sz w:val="44"/>
      <w:szCs w:val="44"/>
      <w:lang w:val="en-US" w:eastAsia="en-US"/>
    </w:rPr>
  </w:style>
  <w:style w:type="paragraph" w:customStyle="1" w:styleId="ZBOGOBIMA">
    <w:name w:val="ZBOG OBIMA"/>
    <w:basedOn w:val="Normal"/>
    <w:link w:val="ZBOGOBIMAChar"/>
    <w:pPr>
      <w:autoSpaceDE w:val="0"/>
      <w:autoSpaceDN w:val="0"/>
      <w:adjustRightInd w:val="0"/>
      <w:spacing w:before="240" w:after="240"/>
      <w:jc w:val="center"/>
    </w:pPr>
    <w:rPr>
      <w:rFonts w:ascii="Trebuchet MS" w:hAnsi="Trebuchet MS" w:cs="Trebuchet MS"/>
      <w:b/>
      <w:color w:val="666699"/>
      <w:sz w:val="28"/>
      <w:szCs w:val="28"/>
      <w:lang w:eastAsia="en-US"/>
    </w:rPr>
  </w:style>
  <w:style w:type="paragraph" w:customStyle="1" w:styleId="Odgovornosti">
    <w:name w:val="Odgovornosti"/>
    <w:aliases w:val="uslovi,itd."/>
    <w:basedOn w:val="Normal"/>
    <w:link w:val="OdgovornostiChar"/>
    <w:pPr>
      <w:spacing w:before="240" w:after="120"/>
    </w:pPr>
    <w:rPr>
      <w:rFonts w:ascii="Trebuchet MS" w:hAnsi="Trebuchet MS"/>
      <w:b/>
      <w:bCs/>
      <w:color w:val="003366"/>
      <w:sz w:val="20"/>
      <w:szCs w:val="20"/>
      <w:lang w:eastAsia="en-US"/>
    </w:rPr>
  </w:style>
  <w:style w:type="paragraph" w:customStyle="1" w:styleId="TEKST">
    <w:name w:val="TEKST"/>
    <w:basedOn w:val="Normal"/>
    <w:link w:val="TEKSTChar"/>
    <w:pPr>
      <w:numPr>
        <w:numId w:val="1"/>
      </w:numPr>
      <w:tabs>
        <w:tab w:val="clear" w:pos="502"/>
      </w:tabs>
      <w:spacing w:before="20" w:after="20"/>
      <w:ind w:left="547"/>
      <w:contextualSpacing/>
    </w:pPr>
    <w:rPr>
      <w:rFonts w:ascii="Trebuchet MS" w:hAnsi="Trebuchet MS"/>
      <w:color w:val="003366"/>
      <w:sz w:val="20"/>
      <w:szCs w:val="20"/>
      <w:lang w:eastAsia="en-US"/>
    </w:rPr>
  </w:style>
  <w:style w:type="character" w:customStyle="1" w:styleId="TEKSTChar">
    <w:name w:val="TEKST Char"/>
    <w:link w:val="TEKST"/>
    <w:rPr>
      <w:rFonts w:ascii="Trebuchet MS" w:eastAsia="Times New Roman" w:hAnsi="Trebuchet MS" w:cs="Times New Roman"/>
      <w:color w:val="003366"/>
      <w:sz w:val="20"/>
      <w:szCs w:val="20"/>
      <w:lang w:val="sr-Latn-CS"/>
    </w:rPr>
  </w:style>
  <w:style w:type="character" w:customStyle="1" w:styleId="NAZIVPOZICIJEChar">
    <w:name w:val="NAZIV POZICIJE Char"/>
    <w:link w:val="NAZIVPOZICIJE"/>
    <w:rPr>
      <w:rFonts w:ascii="Trebuchet MS" w:eastAsia="Times New Roman" w:hAnsi="Trebuchet MS" w:cs="Times New Roman"/>
      <w:color w:val="FFFFFF"/>
      <w:sz w:val="44"/>
      <w:szCs w:val="44"/>
      <w:shd w:val="clear" w:color="auto" w:fill="1F497D"/>
    </w:rPr>
  </w:style>
  <w:style w:type="character" w:customStyle="1" w:styleId="OdgovornostiChar">
    <w:name w:val="Odgovornosti Char"/>
    <w:aliases w:val="uslovi Char,itd. Char"/>
    <w:link w:val="Odgovornosti"/>
    <w:rPr>
      <w:rFonts w:ascii="Trebuchet MS" w:eastAsia="Times New Roman" w:hAnsi="Trebuchet MS" w:cs="Times New Roman"/>
      <w:b/>
      <w:bCs/>
      <w:color w:val="003366"/>
      <w:sz w:val="20"/>
      <w:szCs w:val="20"/>
      <w:lang w:val="sr-Latn-CS"/>
    </w:rPr>
  </w:style>
  <w:style w:type="paragraph" w:customStyle="1" w:styleId="Style3">
    <w:name w:val="Style3"/>
    <w:basedOn w:val="Normal"/>
    <w:pPr>
      <w:pBdr>
        <w:top w:val="double" w:sz="4" w:space="1" w:color="FFCC00"/>
        <w:bottom w:val="double" w:sz="4" w:space="1" w:color="FFCC00"/>
      </w:pBdr>
      <w:shd w:val="clear" w:color="auto" w:fill="FFFF99"/>
      <w:spacing w:before="360" w:after="60"/>
      <w:contextualSpacing/>
      <w:jc w:val="center"/>
    </w:pPr>
    <w:rPr>
      <w:rFonts w:ascii="Trebuchet MS" w:hAnsi="Trebuchet MS"/>
      <w:b/>
      <w:color w:val="003366"/>
      <w:sz w:val="20"/>
      <w:szCs w:val="20"/>
    </w:rPr>
  </w:style>
  <w:style w:type="character" w:customStyle="1" w:styleId="ZBOGOBIMAChar">
    <w:name w:val="ZBOG OBIMA Char"/>
    <w:link w:val="ZBOGOBIMA"/>
    <w:rPr>
      <w:rFonts w:ascii="Trebuchet MS" w:eastAsia="Times New Roman" w:hAnsi="Trebuchet MS" w:cs="Trebuchet MS"/>
      <w:b/>
      <w:color w:val="666699"/>
      <w:sz w:val="28"/>
      <w:szCs w:val="28"/>
      <w:lang w:val="sr-Latn-CS"/>
    </w:rPr>
  </w:style>
  <w:style w:type="character" w:styleId="HTMLTypewriter">
    <w:name w:val="HTML Typewriter"/>
    <w:basedOn w:val="DefaultParagraphFont"/>
    <w:uiPriority w:val="99"/>
    <w:unhideWhenUsed/>
    <w:rPr>
      <w:rFonts w:ascii="Courier New" w:eastAsiaTheme="minorHAnsi" w:hAnsi="Courier New" w:cs="Courier New" w:hint="default"/>
      <w:sz w:val="20"/>
      <w:szCs w:val="20"/>
    </w:rPr>
  </w:style>
  <w:style w:type="paragraph" w:styleId="ListParagraph">
    <w:name w:val="List Paragraph"/>
    <w:basedOn w:val="Normal"/>
    <w:uiPriority w:val="34"/>
    <w:qFormat/>
    <w:pPr>
      <w:spacing w:after="200" w:line="276" w:lineRule="auto"/>
      <w:ind w:left="720"/>
      <w:contextualSpacing/>
    </w:pPr>
    <w:rPr>
      <w:rFonts w:ascii="Calibri" w:eastAsia="Calibri" w:hAnsi="Calibri"/>
      <w:sz w:val="22"/>
      <w:szCs w:val="22"/>
      <w:lang w:val="tr-TR" w:eastAsia="en-US"/>
    </w:rPr>
  </w:style>
  <w:style w:type="paragraph" w:styleId="NormalWeb">
    <w:name w:val="Normal (Web)"/>
    <w:basedOn w:val="Normal"/>
    <w:uiPriority w:val="99"/>
    <w:pPr>
      <w:spacing w:before="100" w:beforeAutospacing="1" w:after="100" w:afterAutospacing="1"/>
    </w:pPr>
    <w:rPr>
      <w:lang w:val="el-GR" w:eastAsia="el-GR"/>
    </w:rPr>
  </w:style>
  <w:style w:type="character" w:styleId="Strong">
    <w:name w:val="Strong"/>
    <w:basedOn w:val="DefaultParagraphFont"/>
    <w:uiPriority w:val="22"/>
    <w:qFormat/>
    <w:rsid w:val="00AD3F9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31898">
      <w:bodyDiv w:val="1"/>
      <w:marLeft w:val="0"/>
      <w:marRight w:val="0"/>
      <w:marTop w:val="0"/>
      <w:marBottom w:val="0"/>
      <w:divBdr>
        <w:top w:val="none" w:sz="0" w:space="0" w:color="auto"/>
        <w:left w:val="none" w:sz="0" w:space="0" w:color="auto"/>
        <w:bottom w:val="none" w:sz="0" w:space="0" w:color="auto"/>
        <w:right w:val="none" w:sz="0" w:space="0" w:color="auto"/>
      </w:divBdr>
    </w:div>
    <w:div w:id="365369984">
      <w:bodyDiv w:val="1"/>
      <w:marLeft w:val="0"/>
      <w:marRight w:val="0"/>
      <w:marTop w:val="0"/>
      <w:marBottom w:val="0"/>
      <w:divBdr>
        <w:top w:val="none" w:sz="0" w:space="0" w:color="auto"/>
        <w:left w:val="none" w:sz="0" w:space="0" w:color="auto"/>
        <w:bottom w:val="none" w:sz="0" w:space="0" w:color="auto"/>
        <w:right w:val="none" w:sz="0" w:space="0" w:color="auto"/>
      </w:divBdr>
    </w:div>
    <w:div w:id="424083691">
      <w:bodyDiv w:val="1"/>
      <w:marLeft w:val="0"/>
      <w:marRight w:val="0"/>
      <w:marTop w:val="0"/>
      <w:marBottom w:val="0"/>
      <w:divBdr>
        <w:top w:val="none" w:sz="0" w:space="0" w:color="auto"/>
        <w:left w:val="none" w:sz="0" w:space="0" w:color="auto"/>
        <w:bottom w:val="none" w:sz="0" w:space="0" w:color="auto"/>
        <w:right w:val="none" w:sz="0" w:space="0" w:color="auto"/>
      </w:divBdr>
    </w:div>
    <w:div w:id="530412657">
      <w:bodyDiv w:val="1"/>
      <w:marLeft w:val="0"/>
      <w:marRight w:val="0"/>
      <w:marTop w:val="0"/>
      <w:marBottom w:val="0"/>
      <w:divBdr>
        <w:top w:val="none" w:sz="0" w:space="0" w:color="auto"/>
        <w:left w:val="none" w:sz="0" w:space="0" w:color="auto"/>
        <w:bottom w:val="none" w:sz="0" w:space="0" w:color="auto"/>
        <w:right w:val="none" w:sz="0" w:space="0" w:color="auto"/>
      </w:divBdr>
    </w:div>
    <w:div w:id="555354746">
      <w:bodyDiv w:val="1"/>
      <w:marLeft w:val="0"/>
      <w:marRight w:val="0"/>
      <w:marTop w:val="0"/>
      <w:marBottom w:val="0"/>
      <w:divBdr>
        <w:top w:val="none" w:sz="0" w:space="0" w:color="auto"/>
        <w:left w:val="none" w:sz="0" w:space="0" w:color="auto"/>
        <w:bottom w:val="none" w:sz="0" w:space="0" w:color="auto"/>
        <w:right w:val="none" w:sz="0" w:space="0" w:color="auto"/>
      </w:divBdr>
    </w:div>
    <w:div w:id="676005948">
      <w:bodyDiv w:val="1"/>
      <w:marLeft w:val="0"/>
      <w:marRight w:val="0"/>
      <w:marTop w:val="0"/>
      <w:marBottom w:val="0"/>
      <w:divBdr>
        <w:top w:val="none" w:sz="0" w:space="0" w:color="auto"/>
        <w:left w:val="none" w:sz="0" w:space="0" w:color="auto"/>
        <w:bottom w:val="none" w:sz="0" w:space="0" w:color="auto"/>
        <w:right w:val="none" w:sz="0" w:space="0" w:color="auto"/>
      </w:divBdr>
    </w:div>
    <w:div w:id="901717069">
      <w:bodyDiv w:val="1"/>
      <w:marLeft w:val="0"/>
      <w:marRight w:val="0"/>
      <w:marTop w:val="0"/>
      <w:marBottom w:val="0"/>
      <w:divBdr>
        <w:top w:val="none" w:sz="0" w:space="0" w:color="auto"/>
        <w:left w:val="none" w:sz="0" w:space="0" w:color="auto"/>
        <w:bottom w:val="none" w:sz="0" w:space="0" w:color="auto"/>
        <w:right w:val="none" w:sz="0" w:space="0" w:color="auto"/>
      </w:divBdr>
    </w:div>
    <w:div w:id="1121531042">
      <w:bodyDiv w:val="1"/>
      <w:marLeft w:val="0"/>
      <w:marRight w:val="0"/>
      <w:marTop w:val="0"/>
      <w:marBottom w:val="0"/>
      <w:divBdr>
        <w:top w:val="none" w:sz="0" w:space="0" w:color="auto"/>
        <w:left w:val="none" w:sz="0" w:space="0" w:color="auto"/>
        <w:bottom w:val="none" w:sz="0" w:space="0" w:color="auto"/>
        <w:right w:val="none" w:sz="0" w:space="0" w:color="auto"/>
      </w:divBdr>
    </w:div>
    <w:div w:id="1335958689">
      <w:bodyDiv w:val="1"/>
      <w:marLeft w:val="0"/>
      <w:marRight w:val="0"/>
      <w:marTop w:val="0"/>
      <w:marBottom w:val="0"/>
      <w:divBdr>
        <w:top w:val="none" w:sz="0" w:space="0" w:color="auto"/>
        <w:left w:val="none" w:sz="0" w:space="0" w:color="auto"/>
        <w:bottom w:val="none" w:sz="0" w:space="0" w:color="auto"/>
        <w:right w:val="none" w:sz="0" w:space="0" w:color="auto"/>
      </w:divBdr>
    </w:div>
    <w:div w:id="1676834249">
      <w:bodyDiv w:val="1"/>
      <w:marLeft w:val="0"/>
      <w:marRight w:val="0"/>
      <w:marTop w:val="0"/>
      <w:marBottom w:val="0"/>
      <w:divBdr>
        <w:top w:val="none" w:sz="0" w:space="0" w:color="auto"/>
        <w:left w:val="none" w:sz="0" w:space="0" w:color="auto"/>
        <w:bottom w:val="none" w:sz="0" w:space="0" w:color="auto"/>
        <w:right w:val="none" w:sz="0" w:space="0" w:color="auto"/>
      </w:divBdr>
    </w:div>
    <w:div w:id="1833181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3100616-4eb3-406f-9dc5-1f529109d985" xsi:nil="true"/>
    <lcf76f155ced4ddcb4097134ff3c332f xmlns="3d94b453-fe75-489f-ace5-1ee93f201508">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B46BDCB0ADA1B4DBC3E6CB58AAA0DF7" ma:contentTypeVersion="11" ma:contentTypeDescription="Create a new document." ma:contentTypeScope="" ma:versionID="5303debaacfca347c8e079826f4262cd">
  <xsd:schema xmlns:xsd="http://www.w3.org/2001/XMLSchema" xmlns:xs="http://www.w3.org/2001/XMLSchema" xmlns:p="http://schemas.microsoft.com/office/2006/metadata/properties" xmlns:ns2="3d94b453-fe75-489f-ace5-1ee93f201508" xmlns:ns3="e3100616-4eb3-406f-9dc5-1f529109d985" targetNamespace="http://schemas.microsoft.com/office/2006/metadata/properties" ma:root="true" ma:fieldsID="4b5b99d4c8330a82994902a5b377f7fb" ns2:_="" ns3:_="">
    <xsd:import namespace="3d94b453-fe75-489f-ace5-1ee93f201508"/>
    <xsd:import namespace="e3100616-4eb3-406f-9dc5-1f529109d9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94b453-fe75-489f-ace5-1ee93f2015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86dfc6e-c132-47dd-9cce-c1c8d7cb288f"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100616-4eb3-406f-9dc5-1f529109d98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cd11f4f-1bf9-4838-92bd-4828608ab092}" ma:internalName="TaxCatchAll" ma:showField="CatchAllData" ma:web="e3100616-4eb3-406f-9dc5-1f529109d9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E0EA72-31EB-4A14-A8A2-B03A2DDD257B}">
  <ds:schemaRefs>
    <ds:schemaRef ds:uri="http://schemas.microsoft.com/office/2006/metadata/properties"/>
    <ds:schemaRef ds:uri="http://schemas.microsoft.com/office/infopath/2007/PartnerControls"/>
    <ds:schemaRef ds:uri="e3100616-4eb3-406f-9dc5-1f529109d985"/>
    <ds:schemaRef ds:uri="3d94b453-fe75-489f-ace5-1ee93f201508"/>
  </ds:schemaRefs>
</ds:datastoreItem>
</file>

<file path=customXml/itemProps2.xml><?xml version="1.0" encoding="utf-8"?>
<ds:datastoreItem xmlns:ds="http://schemas.openxmlformats.org/officeDocument/2006/customXml" ds:itemID="{175F4CC4-C798-423D-A32A-123C386E2164}">
  <ds:schemaRefs>
    <ds:schemaRef ds:uri="http://schemas.openxmlformats.org/officeDocument/2006/bibliography"/>
  </ds:schemaRefs>
</ds:datastoreItem>
</file>

<file path=customXml/itemProps3.xml><?xml version="1.0" encoding="utf-8"?>
<ds:datastoreItem xmlns:ds="http://schemas.openxmlformats.org/officeDocument/2006/customXml" ds:itemID="{2D8F142F-80A0-4D71-8937-605AF9917D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94b453-fe75-489f-ace5-1ee93f201508"/>
    <ds:schemaRef ds:uri="e3100616-4eb3-406f-9dc5-1f529109d9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2D4FBB-0418-4164-B3F7-67185092FE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381</Words>
  <Characters>2163</Characters>
  <Application>Microsoft Office Word</Application>
  <DocSecurity>0</DocSecurity>
  <Lines>44</Lines>
  <Paragraphs>21</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Senior System Engineer</dc:subject>
  <dc:creator>Goran Acevski</dc:creator>
  <cp:lastModifiedBy>Mirjana Taskov</cp:lastModifiedBy>
  <cp:revision>17</cp:revision>
  <dcterms:created xsi:type="dcterms:W3CDTF">2023-04-26T13:15:00Z</dcterms:created>
  <dcterms:modified xsi:type="dcterms:W3CDTF">2026-03-03T08:24:00Z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0x0101008B46BDCB0ADA1B4DBC3E6CB58AAA0DF7</vt:lpwstr>
  </property>
  <property fmtid="{D5CDD505-2E9C-101B-9397-08002B2CF9AE}" pid="3" name="MediaServiceImageTags">
    <vt:lpwstr/>
  </property>
</Properties>
</file>