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A54D18" w14:paraId="1FEB1948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072B3709" w14:textId="77777777" w:rsidR="00A54D18" w:rsidRDefault="00A54D18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A54D18" w14:paraId="38F36F41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DCD" w14:textId="77777777" w:rsidR="00A54D18" w:rsidRDefault="00EA0A4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lang w:val="en-US"/>
              </w:rPr>
              <w:t>Job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color w:val="192D7A"/>
                <w:lang w:val="en-US"/>
              </w:rPr>
              <w:t>announcement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 </w:t>
            </w:r>
          </w:p>
        </w:tc>
      </w:tr>
      <w:tr w:rsidR="00A54D18" w14:paraId="73ED8D02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FE9C7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56FB" w14:textId="77777777" w:rsidR="00A54D18" w:rsidRPr="006C6595" w:rsidRDefault="00327D91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6C6595">
              <w:rPr>
                <w:rFonts w:ascii="Verdana" w:hAnsi="Verdana" w:cs="Arial"/>
                <w:b/>
                <w:sz w:val="20"/>
                <w:szCs w:val="20"/>
                <w:lang w:val="en-US"/>
              </w:rPr>
              <w:t>ITD</w:t>
            </w:r>
            <w:r w:rsidR="00A73565" w:rsidRPr="006C6595">
              <w:rPr>
                <w:rFonts w:ascii="Verdana" w:hAnsi="Verdana" w:cs="Arial"/>
                <w:b/>
                <w:sz w:val="20"/>
                <w:szCs w:val="20"/>
                <w:lang w:val="mk-MK"/>
              </w:rPr>
              <w:t xml:space="preserve"> </w:t>
            </w:r>
            <w:proofErr w:type="spellStart"/>
            <w:r w:rsidR="00A73565" w:rsidRPr="006C6595">
              <w:rPr>
                <w:rFonts w:ascii="Verdana" w:hAnsi="Verdana" w:cs="Arial"/>
                <w:b/>
                <w:sz w:val="20"/>
                <w:szCs w:val="20"/>
                <w:lang w:val="en-US"/>
              </w:rPr>
              <w:t>Distribucija</w:t>
            </w:r>
            <w:proofErr w:type="spellEnd"/>
            <w:r w:rsidR="00EA0A41" w:rsidRPr="006C6595"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 Doo Skopje</w:t>
            </w:r>
          </w:p>
        </w:tc>
      </w:tr>
      <w:tr w:rsidR="00A54D18" w14:paraId="6A012883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77DE9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3AFA" w14:textId="32E23655" w:rsidR="00A54D18" w:rsidRPr="00A91712" w:rsidRDefault="00B31547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Consumer</w:t>
            </w:r>
            <w:r w:rsidR="00A917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A54D18" w14:paraId="3CF7DFC5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C236D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D8E0" w14:textId="4B5729B6" w:rsidR="00A54D18" w:rsidRDefault="00CE18F1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Junior </w:t>
            </w:r>
            <w:r w:rsidR="00D1494C">
              <w:rPr>
                <w:rFonts w:ascii="Verdana" w:hAnsi="Verdana"/>
                <w:b/>
                <w:sz w:val="20"/>
                <w:szCs w:val="20"/>
                <w:lang w:val="en-US"/>
              </w:rPr>
              <w:t>Product Manager</w:t>
            </w:r>
            <w:r w:rsidR="002C4F82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54D18" w14:paraId="3BF1C1C0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C9B" w14:textId="77777777" w:rsidR="00A54D18" w:rsidRDefault="00A54D18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73263A58" w14:textId="145CCFC0" w:rsidR="00E42AF0" w:rsidRPr="00E42AF0" w:rsidRDefault="00EA0A41" w:rsidP="00A46381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Introduction:</w:t>
            </w:r>
          </w:p>
          <w:p w14:paraId="502F5A06" w14:textId="42694A11" w:rsidR="005B6483" w:rsidRDefault="005B6483" w:rsidP="005B6483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42AF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ITD </w:t>
            </w:r>
            <w:proofErr w:type="spellStart"/>
            <w:r w:rsidRPr="00E42AF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Distribucija</w:t>
            </w:r>
            <w:proofErr w:type="spellEnd"/>
            <w:r w:rsidRPr="00E42AF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DOO Skopje </w:t>
            </w:r>
            <w:r w:rsidRPr="00E42AF0">
              <w:rPr>
                <w:rFonts w:ascii="Verdana" w:hAnsi="Verdana" w:cs="Arial"/>
                <w:sz w:val="20"/>
                <w:szCs w:val="20"/>
                <w:lang w:val="en-US"/>
              </w:rPr>
              <w:t xml:space="preserve">is seeking to recruit </w:t>
            </w:r>
            <w:r w:rsidR="00CE18F1">
              <w:rPr>
                <w:rFonts w:ascii="Verdana" w:hAnsi="Verdana" w:cs="Arial"/>
                <w:b/>
                <w:sz w:val="20"/>
                <w:szCs w:val="20"/>
                <w:lang w:val="en-US"/>
              </w:rPr>
              <w:t>Junior Product Manager</w:t>
            </w:r>
            <w:r w:rsidRPr="00E42AF0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</w:p>
          <w:p w14:paraId="439D688A" w14:textId="77777777" w:rsidR="005B6483" w:rsidRPr="00E42AF0" w:rsidRDefault="005B6483" w:rsidP="005B6483">
            <w:pPr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</w:p>
          <w:p w14:paraId="08C05BE4" w14:textId="77777777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This is an excellent opportunity to join one of the region’s leading distribution companies.</w:t>
            </w:r>
          </w:p>
          <w:p w14:paraId="5691E091" w14:textId="77777777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 xml:space="preserve">ITD </w:t>
            </w:r>
            <w:proofErr w:type="spellStart"/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Distribucija</w:t>
            </w:r>
            <w:proofErr w:type="spellEnd"/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 xml:space="preserve"> Macedonia</w:t>
            </w:r>
            <w:r>
              <w:rPr>
                <w:rFonts w:ascii="Verdana" w:hAnsi="Verdana" w:cs="Arial"/>
                <w:sz w:val="20"/>
                <w:szCs w:val="20"/>
                <w:lang w:val="mk-MK"/>
              </w:rPr>
              <w:t xml:space="preserve"> </w:t>
            </w: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has been operating in the Macedonian market since 2007, specializing in the distribution of IT products.</w:t>
            </w:r>
          </w:p>
          <w:p w14:paraId="3560F0FF" w14:textId="77777777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630A23B4" w14:textId="69A314C1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Over the past 1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9</w:t>
            </w: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 xml:space="preserve"> years, we have achieved the fastest growth not only within our group but also across the Eastern European region. </w:t>
            </w:r>
          </w:p>
          <w:p w14:paraId="17088BA8" w14:textId="77777777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Our success is built on a commitment to excellence, with a focus on efficient and timely distribution, strong and trustworthy partnerships, high business ethics, professionalism, and expertise in sales and management — all supported by an outstanding logistics system.</w:t>
            </w:r>
          </w:p>
          <w:p w14:paraId="3DE268A6" w14:textId="77777777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31D5801F" w14:textId="77777777" w:rsidR="005B6483" w:rsidRPr="004D672C" w:rsidRDefault="005B6483" w:rsidP="005B648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Our goal is to maintain and strengthen our position as a market leader in IT distribution in Macedonia.</w:t>
            </w:r>
          </w:p>
          <w:p w14:paraId="270D152A" w14:textId="082ADB2C" w:rsidR="00940DF7" w:rsidRPr="00E42AF0" w:rsidRDefault="00940DF7" w:rsidP="00940DF7">
            <w:p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4D18" w14:paraId="121C882F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641" w14:textId="77777777" w:rsidR="00A54D18" w:rsidRPr="006F0B1E" w:rsidRDefault="00A54D18" w:rsidP="006F0B1E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339C8DD8" w14:textId="77777777" w:rsidR="00A54D18" w:rsidRPr="00AD42DE" w:rsidRDefault="00EA0A41" w:rsidP="00AD42DE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 w:rsidRPr="00AD42DE"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17FA7655" w14:textId="77777777" w:rsidR="00A54D18" w:rsidRPr="006F0B1E" w:rsidRDefault="00A54D18" w:rsidP="0085633A">
            <w:pPr>
              <w:pStyle w:val="ListParagraph"/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</w:p>
          <w:p w14:paraId="1513EE60" w14:textId="18AC28EB" w:rsidR="008A3F32" w:rsidRPr="0085633A" w:rsidRDefault="008A3F32" w:rsidP="0085633A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 xml:space="preserve">As a Product Specialist in our </w:t>
            </w:r>
            <w:r w:rsidR="0056533F">
              <w:rPr>
                <w:rFonts w:ascii="Verdana" w:hAnsi="Verdana" w:cs="Arial"/>
                <w:sz w:val="20"/>
                <w:szCs w:val="20"/>
                <w:lang w:val="en-US"/>
              </w:rPr>
              <w:t>Consumer</w:t>
            </w: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 xml:space="preserve"> team, you will support the management and development of </w:t>
            </w:r>
            <w:r w:rsidR="00B74222">
              <w:rPr>
                <w:rFonts w:ascii="Verdana" w:hAnsi="Verdana" w:cs="Arial"/>
                <w:sz w:val="20"/>
                <w:szCs w:val="20"/>
                <w:lang w:val="en-US"/>
              </w:rPr>
              <w:t>current and new brands and products, as well as</w:t>
            </w: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 xml:space="preserve"> related IT product lines, working closely with vendors, sales teams and internal departments.</w:t>
            </w:r>
          </w:p>
          <w:p w14:paraId="4CA107C8" w14:textId="492D3271" w:rsidR="0085633A" w:rsidRPr="0085633A" w:rsidRDefault="008A3F32" w:rsidP="0085633A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 xml:space="preserve">Build and maintain strong knowledge of the company’s product portfolio, including PC hardware, and </w:t>
            </w:r>
            <w:r w:rsidR="00262BB4">
              <w:rPr>
                <w:rFonts w:ascii="Verdana" w:hAnsi="Verdana" w:cs="Arial"/>
                <w:sz w:val="20"/>
                <w:szCs w:val="20"/>
                <w:lang w:val="en-US"/>
              </w:rPr>
              <w:t>computing technologies</w:t>
            </w:r>
          </w:p>
          <w:p w14:paraId="17385F51" w14:textId="4A6CD7D6" w:rsidR="008A3F32" w:rsidRPr="0085633A" w:rsidRDefault="008A3F32" w:rsidP="0085633A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>Maintain up-to-date understanding of product specifications, features and positioning for assigned product lines</w:t>
            </w:r>
          </w:p>
          <w:p w14:paraId="5D28270C" w14:textId="77777777" w:rsidR="008A3F32" w:rsidRPr="0085633A" w:rsidRDefault="008A3F32" w:rsidP="0085633A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>Support competitive analysis, including pricing and product comparison</w:t>
            </w:r>
          </w:p>
          <w:p w14:paraId="2F76A947" w14:textId="7A32585C" w:rsidR="008A3F32" w:rsidRPr="0085633A" w:rsidRDefault="008A3F32" w:rsidP="00E51DBF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>Assist in creating pricing and sales strategies aligned with market trends</w:t>
            </w:r>
          </w:p>
          <w:p w14:paraId="64453CDE" w14:textId="4C3A3FDC" w:rsidR="008A3F32" w:rsidRPr="0085633A" w:rsidRDefault="008A3F32" w:rsidP="00AA0325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>Cooperate closely with the import/export and logistics teams to ensure timely product availability</w:t>
            </w:r>
          </w:p>
          <w:p w14:paraId="328FCE75" w14:textId="77777777" w:rsidR="00974ABD" w:rsidRDefault="008A3F32" w:rsidP="0085633A">
            <w:pPr>
              <w:pStyle w:val="ListParagraph"/>
              <w:numPr>
                <w:ilvl w:val="0"/>
                <w:numId w:val="15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5633A">
              <w:rPr>
                <w:rFonts w:ascii="Verdana" w:hAnsi="Verdana" w:cs="Arial"/>
                <w:sz w:val="20"/>
                <w:szCs w:val="20"/>
                <w:lang w:val="en-US"/>
              </w:rPr>
              <w:t>Establish and maintain positive working relationships with existing vendors and potential new partners</w:t>
            </w:r>
          </w:p>
          <w:p w14:paraId="646BAEC4" w14:textId="5449E981" w:rsidR="002C4F82" w:rsidRPr="0085633A" w:rsidRDefault="00974ABD" w:rsidP="0085633A">
            <w:pPr>
              <w:pStyle w:val="ListParagraph"/>
              <w:numPr>
                <w:ilvl w:val="0"/>
                <w:numId w:val="15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974ABD">
              <w:rPr>
                <w:rFonts w:ascii="Verdana" w:hAnsi="Verdana" w:cs="Arial"/>
                <w:sz w:val="20"/>
                <w:szCs w:val="20"/>
                <w:lang w:val="sr-Latn-CS"/>
              </w:rPr>
              <w:t>Prepare regular reports related to sales performance, stock status, forecasts and market insights</w:t>
            </w:r>
          </w:p>
        </w:tc>
      </w:tr>
      <w:tr w:rsidR="00A54D18" w14:paraId="5723EF70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11C4" w14:textId="610BB693" w:rsidR="00A54D18" w:rsidRDefault="00EA5C8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Job requirements: </w:t>
            </w:r>
          </w:p>
          <w:p w14:paraId="1AB0BC68" w14:textId="77777777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1–3 years of experience in IT distribution, product support, product management or sales-related roles</w:t>
            </w:r>
          </w:p>
          <w:p w14:paraId="0938963C" w14:textId="1B6E6B35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Candidates with less experience but strong motivation will also be considered</w:t>
            </w:r>
          </w:p>
          <w:p w14:paraId="3AFEA761" w14:textId="2C4EFAFB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 xml:space="preserve">Good general knowledge of IT hardware </w:t>
            </w:r>
          </w:p>
          <w:p w14:paraId="6EF70929" w14:textId="77777777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lastRenderedPageBreak/>
              <w:t>Strong analytical skills, with the ability to work with data for pricing, competition, stock aging and margin analysis</w:t>
            </w:r>
          </w:p>
          <w:p w14:paraId="0EEC3CE9" w14:textId="77777777" w:rsidR="0018600B" w:rsidRDefault="00B21687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MS Office proficien</w:t>
            </w:r>
            <w:r w:rsidR="0018600B">
              <w:rPr>
                <w:rFonts w:ascii="Verdana" w:hAnsi="Verdana" w:cs="Arial"/>
                <w:sz w:val="20"/>
                <w:szCs w:val="20"/>
                <w:lang w:val="en-US"/>
              </w:rPr>
              <w:t>t</w:t>
            </w:r>
          </w:p>
          <w:p w14:paraId="7F4F47B9" w14:textId="48375CB4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Very good communication and interpersonal skills, especially in working with vendors and internal teams</w:t>
            </w:r>
          </w:p>
          <w:p w14:paraId="77FF395F" w14:textId="77777777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Ability to work in a team environment and handle multiple tasks under pressure</w:t>
            </w:r>
          </w:p>
          <w:p w14:paraId="293FF8E2" w14:textId="77777777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Proactive mindset, enthusiasm and willingness to take initiative</w:t>
            </w:r>
          </w:p>
          <w:p w14:paraId="0D85DAAB" w14:textId="77777777" w:rsidR="00102E2E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Strong desire to learn and grow within the IT distribution and vendor management field</w:t>
            </w:r>
          </w:p>
          <w:p w14:paraId="09031AB3" w14:textId="40185CFC" w:rsidR="00752857" w:rsidRPr="00102E2E" w:rsidRDefault="00102E2E" w:rsidP="00102E2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02E2E">
              <w:rPr>
                <w:rFonts w:ascii="Verdana" w:hAnsi="Verdana" w:cs="Arial"/>
                <w:sz w:val="20"/>
                <w:szCs w:val="20"/>
                <w:lang w:val="en-US"/>
              </w:rPr>
              <w:t>Excellent verbal and written communication skills in English</w:t>
            </w:r>
          </w:p>
        </w:tc>
      </w:tr>
      <w:tr w:rsidR="00A54D18" w14:paraId="77E44CE0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E30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1D80DA64" w14:textId="77777777" w:rsidR="00A54D18" w:rsidRDefault="00EA0A4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 can expect from us</w:t>
            </w:r>
          </w:p>
          <w:p w14:paraId="7346F595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4EE2718" w14:textId="77777777" w:rsidR="00A32679" w:rsidRPr="00A32679" w:rsidRDefault="002C4F82" w:rsidP="002A4B6E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C4F8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In addition to a competitive base salary, this position provides incentive compensation that rewards the individual based upon assigned objectives. </w:t>
            </w:r>
          </w:p>
          <w:p w14:paraId="1970CD8B" w14:textId="17E9701E" w:rsidR="00A32679" w:rsidRPr="00A32679" w:rsidRDefault="00A32679" w:rsidP="00A32679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A3267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Exposure to top-level projects</w:t>
            </w:r>
          </w:p>
          <w:p w14:paraId="178A06BE" w14:textId="77777777" w:rsidR="00A32679" w:rsidRPr="00A32679" w:rsidRDefault="00A32679" w:rsidP="00A32679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A3267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Professional growth and advanced technical challenges</w:t>
            </w:r>
          </w:p>
          <w:p w14:paraId="2531782C" w14:textId="77777777" w:rsidR="00A32679" w:rsidRPr="00A32679" w:rsidRDefault="00A32679" w:rsidP="00A32679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A3267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Vendor-based training and certifications</w:t>
            </w:r>
          </w:p>
          <w:p w14:paraId="75DBFEF5" w14:textId="77777777" w:rsidR="00A32679" w:rsidRPr="00A32679" w:rsidRDefault="00A32679" w:rsidP="00A32679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A3267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Collaborative and forward-thinking environment </w:t>
            </w:r>
          </w:p>
          <w:p w14:paraId="13D0E814" w14:textId="77777777" w:rsidR="00A32679" w:rsidRPr="00A32679" w:rsidRDefault="00A32679" w:rsidP="00A32679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A3267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Competitive compensation</w:t>
            </w:r>
          </w:p>
          <w:p w14:paraId="1BDFE86D" w14:textId="19DD7DE1" w:rsidR="002C4F82" w:rsidRPr="00A32679" w:rsidRDefault="00A32679" w:rsidP="00A32679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A3267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Private health insurance</w:t>
            </w:r>
          </w:p>
        </w:tc>
      </w:tr>
      <w:tr w:rsidR="00A54D18" w14:paraId="177C0502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661ED2" w14:textId="77777777" w:rsidR="00A54D18" w:rsidRDefault="00A54D1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D927CF1" w14:textId="6D9C4D79" w:rsidR="009977C1" w:rsidRPr="000022D5" w:rsidRDefault="009977C1" w:rsidP="009977C1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>Qualified candidates should submit the letter of interest and their CV, to the following email address:</w:t>
            </w:r>
            <w:r>
              <w:t xml:space="preserve"> </w:t>
            </w:r>
            <w:r w:rsidRPr="00C6479D">
              <w:rPr>
                <w:rFonts w:ascii="Verdana" w:hAnsi="Verdana"/>
                <w:sz w:val="20"/>
                <w:szCs w:val="20"/>
              </w:rPr>
              <w:t>career.mk@tessa.group</w:t>
            </w:r>
            <w:r w:rsidRPr="00A37494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ubject indication: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“</w:t>
            </w:r>
            <w:r w:rsidRPr="009977C1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val="en-US"/>
              </w:rPr>
              <w:t>Junior Product Manager</w:t>
            </w:r>
            <w:r w:rsidRPr="009977C1">
              <w:rPr>
                <w:rFonts w:ascii="Verdana" w:hAnsi="Verdana" w:cs="Arial"/>
                <w:color w:val="000000" w:themeColor="text1"/>
                <w:sz w:val="20"/>
                <w:szCs w:val="20"/>
                <w:lang w:val="en-US"/>
              </w:rPr>
              <w:t>”</w:t>
            </w:r>
          </w:p>
          <w:p w14:paraId="57D0234F" w14:textId="77777777" w:rsidR="009977C1" w:rsidRDefault="009977C1" w:rsidP="009977C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66E76DE8" w14:textId="77777777" w:rsidR="009977C1" w:rsidRDefault="009977C1" w:rsidP="009977C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The CV-s must be in English. 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The closing date for applications is 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27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02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.202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6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  </w:t>
            </w:r>
          </w:p>
          <w:p w14:paraId="57703FD0" w14:textId="77777777" w:rsidR="009977C1" w:rsidRDefault="009977C1" w:rsidP="009977C1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84CE2EF" w14:textId="77777777" w:rsidR="009977C1" w:rsidRDefault="009977C1" w:rsidP="009977C1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5E8E6315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0BD8D22E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1803E7E2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sectPr w:rsidR="00A5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93C"/>
    <w:multiLevelType w:val="hybridMultilevel"/>
    <w:tmpl w:val="5A4C9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40D36"/>
    <w:multiLevelType w:val="hybridMultilevel"/>
    <w:tmpl w:val="395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2496"/>
    <w:multiLevelType w:val="hybridMultilevel"/>
    <w:tmpl w:val="948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B7313"/>
    <w:multiLevelType w:val="multilevel"/>
    <w:tmpl w:val="CED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15909"/>
    <w:multiLevelType w:val="multilevel"/>
    <w:tmpl w:val="EDB2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75C28"/>
    <w:multiLevelType w:val="multilevel"/>
    <w:tmpl w:val="8AD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50227"/>
    <w:multiLevelType w:val="multilevel"/>
    <w:tmpl w:val="A532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A5F8F"/>
    <w:multiLevelType w:val="multilevel"/>
    <w:tmpl w:val="7BC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96599"/>
    <w:multiLevelType w:val="multilevel"/>
    <w:tmpl w:val="F80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81E85"/>
    <w:multiLevelType w:val="multilevel"/>
    <w:tmpl w:val="0D54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3045D"/>
    <w:multiLevelType w:val="multilevel"/>
    <w:tmpl w:val="4840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73D71"/>
    <w:multiLevelType w:val="hybridMultilevel"/>
    <w:tmpl w:val="CAEE9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B2E76"/>
    <w:multiLevelType w:val="hybridMultilevel"/>
    <w:tmpl w:val="43D4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56972">
    <w:abstractNumId w:val="15"/>
  </w:num>
  <w:num w:numId="2" w16cid:durableId="332530288">
    <w:abstractNumId w:val="5"/>
  </w:num>
  <w:num w:numId="3" w16cid:durableId="511191432">
    <w:abstractNumId w:val="16"/>
  </w:num>
  <w:num w:numId="4" w16cid:durableId="22649888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8606363">
    <w:abstractNumId w:val="6"/>
  </w:num>
  <w:num w:numId="6" w16cid:durableId="1272005909">
    <w:abstractNumId w:val="4"/>
  </w:num>
  <w:num w:numId="7" w16cid:durableId="1450469602">
    <w:abstractNumId w:val="10"/>
  </w:num>
  <w:num w:numId="8" w16cid:durableId="305399844">
    <w:abstractNumId w:val="7"/>
  </w:num>
  <w:num w:numId="9" w16cid:durableId="834145940">
    <w:abstractNumId w:val="11"/>
  </w:num>
  <w:num w:numId="10" w16cid:durableId="1052073838">
    <w:abstractNumId w:val="8"/>
  </w:num>
  <w:num w:numId="11" w16cid:durableId="480578270">
    <w:abstractNumId w:val="9"/>
  </w:num>
  <w:num w:numId="12" w16cid:durableId="893932175">
    <w:abstractNumId w:val="12"/>
  </w:num>
  <w:num w:numId="13" w16cid:durableId="1485007592">
    <w:abstractNumId w:val="1"/>
  </w:num>
  <w:num w:numId="14" w16cid:durableId="1809082060">
    <w:abstractNumId w:val="14"/>
  </w:num>
  <w:num w:numId="15" w16cid:durableId="1573389789">
    <w:abstractNumId w:val="2"/>
  </w:num>
  <w:num w:numId="16" w16cid:durableId="1695383226">
    <w:abstractNumId w:val="0"/>
  </w:num>
  <w:num w:numId="17" w16cid:durableId="1187332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18"/>
    <w:rsid w:val="000022D5"/>
    <w:rsid w:val="00043D53"/>
    <w:rsid w:val="00081C2C"/>
    <w:rsid w:val="00102E2E"/>
    <w:rsid w:val="00125312"/>
    <w:rsid w:val="001608D1"/>
    <w:rsid w:val="0018406E"/>
    <w:rsid w:val="0018600B"/>
    <w:rsid w:val="001D1611"/>
    <w:rsid w:val="00253B89"/>
    <w:rsid w:val="00262BB4"/>
    <w:rsid w:val="00274978"/>
    <w:rsid w:val="00284B5A"/>
    <w:rsid w:val="002C4F82"/>
    <w:rsid w:val="00327D91"/>
    <w:rsid w:val="004D280A"/>
    <w:rsid w:val="0056533F"/>
    <w:rsid w:val="00572AA7"/>
    <w:rsid w:val="00591C79"/>
    <w:rsid w:val="005B6483"/>
    <w:rsid w:val="006365E2"/>
    <w:rsid w:val="006C6595"/>
    <w:rsid w:val="006D3972"/>
    <w:rsid w:val="006F0B1E"/>
    <w:rsid w:val="00736761"/>
    <w:rsid w:val="00740F8C"/>
    <w:rsid w:val="00752857"/>
    <w:rsid w:val="007B6DC6"/>
    <w:rsid w:val="0085633A"/>
    <w:rsid w:val="008A3F32"/>
    <w:rsid w:val="00940DF7"/>
    <w:rsid w:val="00974ABD"/>
    <w:rsid w:val="009927AA"/>
    <w:rsid w:val="009977C1"/>
    <w:rsid w:val="00A21BD2"/>
    <w:rsid w:val="00A32679"/>
    <w:rsid w:val="00A46381"/>
    <w:rsid w:val="00A5131F"/>
    <w:rsid w:val="00A54D18"/>
    <w:rsid w:val="00A73565"/>
    <w:rsid w:val="00A91712"/>
    <w:rsid w:val="00AD42DE"/>
    <w:rsid w:val="00B21687"/>
    <w:rsid w:val="00B24F2E"/>
    <w:rsid w:val="00B314FD"/>
    <w:rsid w:val="00B31547"/>
    <w:rsid w:val="00B41D08"/>
    <w:rsid w:val="00B74222"/>
    <w:rsid w:val="00C306F1"/>
    <w:rsid w:val="00CE18F1"/>
    <w:rsid w:val="00D1494C"/>
    <w:rsid w:val="00D1740E"/>
    <w:rsid w:val="00E27D95"/>
    <w:rsid w:val="00E310BE"/>
    <w:rsid w:val="00E42AF0"/>
    <w:rsid w:val="00E81BE8"/>
    <w:rsid w:val="00EA0A41"/>
    <w:rsid w:val="00EA5C80"/>
    <w:rsid w:val="00F16BEC"/>
    <w:rsid w:val="00F941DD"/>
    <w:rsid w:val="00FC628F"/>
    <w:rsid w:val="00FE2FAD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61F7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  <w:style w:type="character" w:styleId="Strong">
    <w:name w:val="Strong"/>
    <w:basedOn w:val="DefaultParagraphFont"/>
    <w:uiPriority w:val="22"/>
    <w:qFormat/>
    <w:rsid w:val="00C306F1"/>
    <w:rPr>
      <w:b/>
      <w:bCs/>
    </w:rPr>
  </w:style>
  <w:style w:type="paragraph" w:customStyle="1" w:styleId="trt0xe">
    <w:name w:val="trt0xe"/>
    <w:basedOn w:val="Normal"/>
    <w:rsid w:val="00752857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80692B3FD24BAB539846CF7310CB" ma:contentTypeVersion="13" ma:contentTypeDescription="Create a new document." ma:contentTypeScope="" ma:versionID="0e62177184f0beef4bc3f49b2535293f">
  <xsd:schema xmlns:xsd="http://www.w3.org/2001/XMLSchema" xmlns:xs="http://www.w3.org/2001/XMLSchema" xmlns:p="http://schemas.microsoft.com/office/2006/metadata/properties" xmlns:ns3="d100a930-d6f2-4a3d-a24b-618d3934a592" xmlns:ns4="eb7a4f53-ed0a-4f6f-b8f8-15b1613e4dd7" targetNamespace="http://schemas.microsoft.com/office/2006/metadata/properties" ma:root="true" ma:fieldsID="b46c575150d55d6e42a556b70689f62d" ns3:_="" ns4:_="">
    <xsd:import namespace="d100a930-d6f2-4a3d-a24b-618d3934a592"/>
    <xsd:import namespace="eb7a4f53-ed0a-4f6f-b8f8-15b1613e4d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930-d6f2-4a3d-a24b-618d3934a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4f53-ed0a-4f6f-b8f8-15b1613e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B8B54-7778-4CE0-B41F-8D0062EA3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F04D5-C37D-4BDC-9BAB-F330A20A7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9C5B2-D3FF-452E-B362-B42FE9CB0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0a930-d6f2-4a3d-a24b-618d3934a592"/>
    <ds:schemaRef ds:uri="eb7a4f53-ed0a-4f6f-b8f8-15b1613e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521</Words>
  <Characters>3192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21</cp:revision>
  <dcterms:created xsi:type="dcterms:W3CDTF">2023-03-21T08:20:00Z</dcterms:created>
  <dcterms:modified xsi:type="dcterms:W3CDTF">2026-02-09T08:22:00Z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0x010100961680692B3FD24BAB539846CF7310CB</vt:lpwstr>
  </property>
</Properties>
</file>