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F393" w14:textId="77777777" w:rsidR="00B51D8B" w:rsidRPr="00B51D8B" w:rsidRDefault="00B51D8B" w:rsidP="00B51D8B">
      <w:pPr>
        <w:shd w:val="clear" w:color="auto" w:fill="FFFFFF"/>
        <w:spacing w:after="150" w:line="420" w:lineRule="atLeast"/>
        <w:outlineLvl w:val="4"/>
        <w:rPr>
          <w:rFonts w:ascii="Arial" w:eastAsia="Times New Roman" w:hAnsi="Arial" w:cs="Arial"/>
          <w:color w:val="232323"/>
          <w:sz w:val="30"/>
          <w:szCs w:val="30"/>
        </w:rPr>
      </w:pPr>
      <w:proofErr w:type="spellStart"/>
      <w:r w:rsidRPr="00B51D8B">
        <w:rPr>
          <w:rFonts w:ascii="Arial" w:eastAsia="Times New Roman" w:hAnsi="Arial" w:cs="Arial"/>
          <w:color w:val="232323"/>
          <w:sz w:val="30"/>
          <w:szCs w:val="30"/>
        </w:rPr>
        <w:t>Детали</w:t>
      </w:r>
      <w:proofErr w:type="spellEnd"/>
      <w:r w:rsidRPr="00B51D8B">
        <w:rPr>
          <w:rFonts w:ascii="Arial" w:eastAsia="Times New Roman" w:hAnsi="Arial" w:cs="Arial"/>
          <w:color w:val="232323"/>
          <w:sz w:val="30"/>
          <w:szCs w:val="30"/>
        </w:rPr>
        <w:t xml:space="preserve"> </w:t>
      </w:r>
      <w:proofErr w:type="spellStart"/>
      <w:r w:rsidRPr="00B51D8B">
        <w:rPr>
          <w:rFonts w:ascii="Arial" w:eastAsia="Times New Roman" w:hAnsi="Arial" w:cs="Arial"/>
          <w:color w:val="232323"/>
          <w:sz w:val="30"/>
          <w:szCs w:val="30"/>
        </w:rPr>
        <w:t>за</w:t>
      </w:r>
      <w:proofErr w:type="spellEnd"/>
      <w:r w:rsidRPr="00B51D8B">
        <w:rPr>
          <w:rFonts w:ascii="Arial" w:eastAsia="Times New Roman" w:hAnsi="Arial" w:cs="Arial"/>
          <w:color w:val="232323"/>
          <w:sz w:val="30"/>
          <w:szCs w:val="30"/>
        </w:rPr>
        <w:t xml:space="preserve"> </w:t>
      </w:r>
      <w:proofErr w:type="spellStart"/>
      <w:r w:rsidRPr="00B51D8B">
        <w:rPr>
          <w:rFonts w:ascii="Arial" w:eastAsia="Times New Roman" w:hAnsi="Arial" w:cs="Arial"/>
          <w:color w:val="232323"/>
          <w:sz w:val="30"/>
          <w:szCs w:val="30"/>
        </w:rPr>
        <w:t>огласот</w:t>
      </w:r>
      <w:proofErr w:type="spellEnd"/>
    </w:p>
    <w:p w14:paraId="326218F5"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ABA ROLI is seeking a Regional Coordinator to serve as the country-level Program Coordinator and assist program delivery and reporting in North Macedonia and Montenegro. In this role Contractor will perform necessary duties, including but not limited to: collaborating with national anti-money laundering entities and FIUs; coordinating with other donors and implementers in the region to identify areas of common interest where joint project activities can be developed; plan and implement activities in line with the program’s work plan and according to budgeted figures; represent the ABA ROLI at anti-money laundering (AML) programs, conferences and workshops; and conduct other tasks as relevant to his role.</w:t>
      </w:r>
    </w:p>
    <w:p w14:paraId="78644CF6"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RESPONSIBILITIES:</w:t>
      </w:r>
    </w:p>
    <w:p w14:paraId="3AE97107"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Engage with key AML and anti-corruption stakeholders in N. Macedonia and Montenegro to organize trainings for FIUs to strengthen their capacity to identify and disrupt the most significant financially motivated offences, proactively collect relevant strategic intelligence.</w:t>
      </w:r>
    </w:p>
    <w:p w14:paraId="28A1F688"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Liaise with key stakeholders and facilitate the invitation and travel of stakeholders to regional workshops to be held in the Balkans and in Southeast Asia.</w:t>
      </w:r>
    </w:p>
    <w:p w14:paraId="687B82D7"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Conduct desk research and consult with experts and stakeholders on money laundering and financial crimes investigation issues in N. Macedonia and Montenegro.</w:t>
      </w:r>
    </w:p>
    <w:p w14:paraId="65575E3A"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Review program outputs and provide technical input; consult program outputs with key AML stakeholders in the region.</w:t>
      </w:r>
    </w:p>
    <w:p w14:paraId="63C6B507"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Serve as the representative of ABA ROLI at external events and conduct outreach to strengthen working relationships with key partners and stakeholders in N. Macedonia and Montenegro.</w:t>
      </w:r>
    </w:p>
    <w:p w14:paraId="591BC534"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Facilitate training events, adapt training content to local context and priorities, provide follow-on support and arrange mentoring.</w:t>
      </w:r>
    </w:p>
    <w:p w14:paraId="196938CE"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Facilitate the engagement of local and international subject matter experts and online training facilitators if necessary.</w:t>
      </w:r>
    </w:p>
    <w:p w14:paraId="74B4F34D"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Perform other related duties as required.</w:t>
      </w:r>
    </w:p>
    <w:p w14:paraId="5CE6C137"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lastRenderedPageBreak/>
        <w:t>QUALIFICATIONS AND EXPERIENCE:</w:t>
      </w:r>
    </w:p>
    <w:p w14:paraId="1B8F38B8"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xml:space="preserve">The </w:t>
      </w:r>
      <w:proofErr w:type="gramStart"/>
      <w:r w:rsidRPr="00B51D8B">
        <w:rPr>
          <w:rFonts w:ascii="Lato" w:eastAsia="Times New Roman" w:hAnsi="Lato" w:cs="Times New Roman"/>
          <w:color w:val="464646"/>
          <w:sz w:val="21"/>
          <w:szCs w:val="21"/>
        </w:rPr>
        <w:t>Coordinator</w:t>
      </w:r>
      <w:proofErr w:type="gramEnd"/>
      <w:r w:rsidRPr="00B51D8B">
        <w:rPr>
          <w:rFonts w:ascii="Lato" w:eastAsia="Times New Roman" w:hAnsi="Lato" w:cs="Times New Roman"/>
          <w:color w:val="464646"/>
          <w:sz w:val="21"/>
          <w:szCs w:val="21"/>
        </w:rPr>
        <w:t xml:space="preserve"> should meet the following minimum requirements:</w:t>
      </w:r>
    </w:p>
    <w:p w14:paraId="607FA73C"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Minimum of five (5) years of experience working on international development assistance programs focused on anti-money laundering, anti-corruption, justice sector reform, training, mentoring and capacity building;</w:t>
      </w:r>
    </w:p>
    <w:p w14:paraId="1C3F9213"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Demonstrated experience of working with AML and anti-corruption stakeholders in N. Macedonia and/or Montenegro;</w:t>
      </w:r>
    </w:p>
    <w:p w14:paraId="4DD39E3F"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Demonstrated knowledge of anti-money laundering and financial crimes investigations issues;</w:t>
      </w:r>
    </w:p>
    <w:p w14:paraId="4A6AAB55"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Experience with program implementation and/or monitoring and evaluation of program activities;</w:t>
      </w:r>
    </w:p>
    <w:p w14:paraId="793BAA8D"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Good command of English</w:t>
      </w:r>
    </w:p>
    <w:p w14:paraId="010AD8CA"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Preferred qualifications:</w:t>
      </w:r>
    </w:p>
    <w:p w14:paraId="182B70B6"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Experience working on international donor-funded programs, preferably U.S. government funded programs.</w:t>
      </w:r>
    </w:p>
    <w:p w14:paraId="558FB9DA"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Local language proficiency</w:t>
      </w:r>
    </w:p>
    <w:p w14:paraId="05D9CD55"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HOW TO APPLY:</w:t>
      </w:r>
    </w:p>
    <w:p w14:paraId="0FA6EBAE"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Please send a CV (no more than 2 pages) and cover letter (one page) describing your relevant experience to ee-recruitment@abaroli.org by November 5, 2021.</w:t>
      </w:r>
    </w:p>
    <w:p w14:paraId="11AC35B9" w14:textId="77777777" w:rsidR="00B51D8B" w:rsidRPr="00B51D8B" w:rsidRDefault="00B51D8B" w:rsidP="00B51D8B">
      <w:pPr>
        <w:spacing w:after="0" w:line="240" w:lineRule="auto"/>
        <w:rPr>
          <w:rFonts w:ascii="Times New Roman" w:eastAsia="Times New Roman" w:hAnsi="Times New Roman" w:cs="Times New Roman"/>
          <w:sz w:val="24"/>
          <w:szCs w:val="24"/>
        </w:rPr>
      </w:pPr>
      <w:r w:rsidRPr="00B51D8B">
        <w:rPr>
          <w:rFonts w:ascii="Lato" w:eastAsia="Times New Roman" w:hAnsi="Lato" w:cs="Times New Roman"/>
          <w:color w:val="464646"/>
          <w:sz w:val="21"/>
          <w:szCs w:val="21"/>
          <w:shd w:val="clear" w:color="auto" w:fill="FFFFFF"/>
        </w:rPr>
        <w:t>About the Organization</w:t>
      </w:r>
    </w:p>
    <w:p w14:paraId="1695C6F0" w14:textId="77777777" w:rsidR="00B51D8B" w:rsidRPr="00B51D8B" w:rsidRDefault="00B51D8B" w:rsidP="00B51D8B">
      <w:pPr>
        <w:shd w:val="clear" w:color="auto" w:fill="FFFFFF"/>
        <w:spacing w:after="360" w:line="360" w:lineRule="atLeast"/>
        <w:rPr>
          <w:rFonts w:ascii="Lato" w:eastAsia="Times New Roman" w:hAnsi="Lato" w:cs="Times New Roman"/>
          <w:color w:val="464646"/>
          <w:sz w:val="21"/>
          <w:szCs w:val="21"/>
        </w:rPr>
      </w:pPr>
      <w:r w:rsidRPr="00B51D8B">
        <w:rPr>
          <w:rFonts w:ascii="Lato" w:eastAsia="Times New Roman" w:hAnsi="Lato" w:cs="Times New Roman"/>
          <w:color w:val="464646"/>
          <w:sz w:val="21"/>
          <w:szCs w:val="21"/>
        </w:rPr>
        <w:t xml:space="preserve">For 30 years and through our work in more than 100 countries, the American Bar Association Rule of Law Initiative (ABA ROLI) and our partners have sought to strengthen legal institutions, to support legal professionals, to foster respect for the rule of law, and to advance public understanding of the law. In collaboration with our in-country partners—including government ministries, judges, lawyers, bar associations, law schools, court administrators, legislatures, and civil society organizations—we design programs that are responsive to local needs and that prioritize sustainable solutions to </w:t>
      </w:r>
      <w:r w:rsidRPr="00B51D8B">
        <w:rPr>
          <w:rFonts w:ascii="Lato" w:eastAsia="Times New Roman" w:hAnsi="Lato" w:cs="Times New Roman"/>
          <w:color w:val="464646"/>
          <w:sz w:val="21"/>
          <w:szCs w:val="21"/>
        </w:rPr>
        <w:lastRenderedPageBreak/>
        <w:t>pressing rule of law challenges. Since 2020, ABA ROLI has been implementing a Case-Based Training on Intel-Led Money Laundering Investigations Across the Balkans and Southeast Asia program to accelerate the adoption of intelligence-led financial investigations and to facilitate Financial Investigations Units (FIUs) ability to successfully investigate and prosecute money laundering and other financial crime cases.</w:t>
      </w:r>
    </w:p>
    <w:p w14:paraId="2A72044B" w14:textId="77777777" w:rsidR="00702A94" w:rsidRDefault="00702A94"/>
    <w:sectPr w:rsidR="00702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8B"/>
    <w:rsid w:val="002A77AA"/>
    <w:rsid w:val="00702A94"/>
    <w:rsid w:val="00B51D8B"/>
    <w:rsid w:val="00E6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35F4"/>
  <w15:chartTrackingRefBased/>
  <w15:docId w15:val="{5247ADC7-2DC7-4A69-9EF3-17122E40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51D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51D8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51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Nikolova</dc:creator>
  <cp:keywords/>
  <dc:description/>
  <cp:lastModifiedBy>Katerina Nikolova</cp:lastModifiedBy>
  <cp:revision>1</cp:revision>
  <dcterms:created xsi:type="dcterms:W3CDTF">2021-11-04T11:00:00Z</dcterms:created>
  <dcterms:modified xsi:type="dcterms:W3CDTF">2021-11-04T11:01:00Z</dcterms:modified>
</cp:coreProperties>
</file>